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2"/>
      <w:bookmarkStart w:id="3" w:name="OLE_LINK33"/>
      <w:bookmarkStart w:id="4" w:name="OLE_LINK34"/>
      <w:bookmarkStart w:id="5" w:name="OLE_LINK13"/>
      <w:r>
        <w:rPr>
          <w:rFonts w:hint="eastAsia" w:ascii="Arial" w:hAnsi="Arial" w:eastAsia="宋体"/>
          <w:b/>
          <w:lang w:eastAsia="ja-JP"/>
        </w:rPr>
        <w:t xml:space="preserve">3GPP TSG RAN WG1 </w:t>
      </w:r>
      <w:r>
        <w:rPr>
          <w:rFonts w:hint="eastAsia" w:ascii="Arial" w:hAnsi="Arial" w:eastAsia="宋体"/>
          <w:b/>
        </w:rPr>
        <w:t xml:space="preserve">meeting </w:t>
      </w:r>
      <w:r>
        <w:rPr>
          <w:rFonts w:hint="eastAsia" w:ascii="Arial" w:hAnsi="Arial" w:eastAsia="宋体"/>
          <w:b/>
          <w:lang w:eastAsia="ja-JP"/>
        </w:rPr>
        <w:t>#</w:t>
      </w:r>
      <w:r>
        <w:rPr>
          <w:rFonts w:hint="eastAsia" w:ascii="Arial" w:hAnsi="Arial" w:eastAsia="宋体"/>
          <w:b/>
        </w:rPr>
        <w:t xml:space="preserve">104-e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R1-2100289</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January 25</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February 5</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rPr>
          <w:lang w:val="en-US"/>
        </w:rPr>
      </w:pPr>
      <w:r>
        <w:rPr>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HST-SFN deployment</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6"/>
              <w:snapToGrid w:val="0"/>
              <w:spacing w:after="0"/>
              <w:ind w:left="0" w:leftChars="0"/>
              <w:jc w:val="both"/>
              <w:rPr>
                <w:rFonts w:ascii="Times New Roman" w:hAnsi="Times New Roman"/>
                <w:i/>
                <w:iCs/>
                <w:sz w:val="20"/>
                <w:szCs w:val="20"/>
              </w:rPr>
            </w:pPr>
            <w:r>
              <w:rPr>
                <w:rFonts w:ascii="Times New Roman" w:hAnsi="Times New Roman"/>
                <w:i/>
                <w:iCs/>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800" w:leftChars="0"/>
              <w:jc w:val="both"/>
              <w:rPr>
                <w:rFonts w:ascii="Times New Roman" w:hAnsi="Times New Roman"/>
                <w:i/>
                <w:iCs/>
                <w:sz w:val="20"/>
                <w:szCs w:val="20"/>
              </w:rPr>
            </w:pPr>
            <w:r>
              <w:rPr>
                <w:rFonts w:ascii="Times New Roman" w:hAnsi="Times New Roman"/>
                <w:i/>
                <w:iCs/>
                <w:sz w:val="20"/>
                <w:szCs w:val="20"/>
              </w:rPr>
              <w:t>Enhancement to support HST-SFN deployment scenario:</w:t>
            </w:r>
          </w:p>
          <w:p>
            <w:pPr>
              <w:pStyle w:val="96"/>
              <w:numPr>
                <w:ilvl w:val="2"/>
                <w:numId w:val="3"/>
              </w:numPr>
              <w:snapToGrid w:val="0"/>
              <w:spacing w:after="0"/>
              <w:ind w:left="1060"/>
              <w:jc w:val="both"/>
              <w:rPr>
                <w:rFonts w:ascii="Times New Roman" w:hAnsi="Times New Roman"/>
                <w:i/>
                <w:iCs/>
                <w:sz w:val="20"/>
                <w:szCs w:val="20"/>
              </w:rPr>
            </w:pPr>
            <w:r>
              <w:rPr>
                <w:rFonts w:ascii="Times New Roman" w:hAnsi="Times New Roman"/>
                <w:i/>
                <w:iCs/>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i/>
                <w:iCs/>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To fairly compare the performance among companies, the consensus was achieved for simulation assumptions in RAN1#102e meeting</w:t>
      </w:r>
      <w:r>
        <w:rPr>
          <w:rFonts w:ascii="Times New Roman" w:hAnsi="Times New Roman"/>
          <w:sz w:val="20"/>
          <w:szCs w:val="20"/>
        </w:rPr>
        <w:t xml:space="preserve"> </w:t>
      </w:r>
      <w:r>
        <w:rPr>
          <w:rFonts w:hint="eastAsia" w:ascii="Times New Roman" w:hAnsi="Times New Roman"/>
          <w:sz w:val="20"/>
          <w:szCs w:val="20"/>
        </w:rPr>
        <w:t>[2]. Meanwhile, some agreements were also made to categorize the potential enhancement solutions for MTRP HST scenario</w:t>
      </w:r>
      <w:r>
        <w:rPr>
          <w:rFonts w:ascii="Times New Roman" w:hAnsi="Times New Roman"/>
          <w:sz w:val="20"/>
          <w:szCs w:val="20"/>
        </w:rPr>
        <w:t xml:space="preserve"> in RAN1#103e</w:t>
      </w:r>
      <w:r>
        <w:rPr>
          <w:rFonts w:hint="eastAsia" w:ascii="Times New Roman" w:hAnsi="Times New Roman"/>
          <w:sz w:val="20"/>
          <w:szCs w:val="20"/>
        </w:rPr>
        <w:t xml:space="preserve"> [3].</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proposals and corresponding simulation results to support enhancements for HST-SFN deployment. </w:t>
      </w:r>
    </w:p>
    <w:p>
      <w:pPr>
        <w:pStyle w:val="2"/>
        <w:snapToGrid w:val="0"/>
        <w:rPr>
          <w:lang w:val="en-US"/>
        </w:rPr>
      </w:pPr>
      <w:r>
        <w:rPr>
          <w:lang w:val="en-US"/>
        </w:rPr>
        <w:t>Discussion</w:t>
      </w:r>
    </w:p>
    <w:p>
      <w:pPr>
        <w:pStyle w:val="3"/>
        <w:numPr>
          <w:ilvl w:val="1"/>
          <w:numId w:val="4"/>
        </w:numPr>
        <w:snapToGrid w:val="0"/>
        <w:spacing w:before="180" w:beforeLines="50" w:after="180" w:afterLines="50" w:line="240" w:lineRule="auto"/>
        <w:rPr>
          <w:rFonts w:ascii="Arial" w:hAnsi="Arial" w:cs="Arial"/>
          <w:sz w:val="24"/>
          <w:szCs w:val="24"/>
          <w:lang w:val="en-US"/>
        </w:rPr>
      </w:pPr>
      <w:r>
        <w:rPr>
          <w:rFonts w:hint="eastAsia" w:ascii="Arial" w:hAnsi="Arial" w:cs="Arial"/>
          <w:sz w:val="24"/>
          <w:szCs w:val="24"/>
          <w:lang w:val="en-US"/>
        </w:rPr>
        <w:t>Enhancements for PDSCH</w:t>
      </w:r>
    </w:p>
    <w:p>
      <w:pPr>
        <w:snapToGrid w:val="0"/>
        <w:spacing w:line="240" w:lineRule="auto"/>
        <w:jc w:val="both"/>
        <w:rPr>
          <w:rFonts w:ascii="Times New Roman" w:hAnsi="Times New Roman"/>
          <w:sz w:val="20"/>
          <w:szCs w:val="20"/>
        </w:rPr>
      </w:pPr>
      <w:r>
        <w:rPr>
          <w:rFonts w:hint="eastAsia" w:ascii="Times New Roman" w:hAnsi="Times New Roman"/>
          <w:sz w:val="20"/>
          <w:szCs w:val="20"/>
        </w:rPr>
        <w:t xml:space="preserve">SFN based MTRP is a very typical solution to enhance transmission reliability in HST scenario, where multiple TRPs transmit the same data to a UE based on the same DMRS port(s). Based on Rel-15/16 specification, one effective TRS can be configured to UE in order to implement SFN based solution in HST scenario. </w:t>
      </w:r>
      <w:r>
        <w:rPr>
          <w:rFonts w:ascii="Times New Roman" w:hAnsi="Times New Roman"/>
          <w:sz w:val="20"/>
          <w:szCs w:val="20"/>
        </w:rPr>
        <w:t>However,</w:t>
      </w:r>
      <w:r>
        <w:rPr>
          <w:rFonts w:hint="eastAsia" w:ascii="Times New Roman" w:hAnsi="Times New Roman"/>
          <w:sz w:val="20"/>
          <w:szCs w:val="20"/>
        </w:rPr>
        <w:t xml:space="preserve"> from the simulation results and analysis </w:t>
      </w:r>
      <w:bookmarkStart w:id="6" w:name="OLE_LINK9"/>
      <w:r>
        <w:rPr>
          <w:rFonts w:hint="eastAsia" w:ascii="Times New Roman" w:hAnsi="Times New Roman"/>
          <w:sz w:val="20"/>
          <w:szCs w:val="20"/>
        </w:rPr>
        <w:t>in our previous contribution [</w:t>
      </w:r>
      <w:bookmarkEnd w:id="6"/>
      <w:r>
        <w:rPr>
          <w:rFonts w:hint="eastAsia" w:ascii="Times New Roman" w:hAnsi="Times New Roman"/>
          <w:sz w:val="20"/>
          <w:szCs w:val="20"/>
        </w:rPr>
        <w:t xml:space="preserve">4], one effective TRS may provide incorrect frequency offset estimation and further cause performance degradation. So in order to solve this problem, two candidate solutions from UE side and gNB side respectively can be considered as shown in the </w:t>
      </w:r>
      <w:r>
        <w:rPr>
          <w:rFonts w:ascii="Times New Roman" w:hAnsi="Times New Roman"/>
          <w:sz w:val="20"/>
          <w:szCs w:val="20"/>
        </w:rPr>
        <w:t>two sub-bullets of WID</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w:t>
      </w:r>
      <w:r>
        <w:rPr>
          <w:rFonts w:hint="eastAsia" w:ascii="Times New Roman" w:hAnsi="Times New Roman"/>
          <w:sz w:val="20"/>
          <w:szCs w:val="20"/>
        </w:rPr>
        <w:t xml:space="preserve"> RAN1#103 e-meeting, the agreements for DMRS ports and QCL relation of DMRS port(s) and the two TCI states are described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#1:</w:t>
            </w:r>
          </w:p>
          <w:p>
            <w:pPr>
              <w:snapToGrid w:val="0"/>
              <w:spacing w:after="0" w:line="240" w:lineRule="auto"/>
              <w:rPr>
                <w:rFonts w:ascii="Times New Roman" w:hAnsi="Times New Roman"/>
                <w:i/>
                <w:iCs/>
                <w:sz w:val="20"/>
                <w:szCs w:val="20"/>
                <w:lang w:val="en-GB"/>
              </w:rPr>
            </w:pPr>
            <w:r>
              <w:rPr>
                <w:rFonts w:ascii="Times New Roman" w:hAnsi="Times New Roman"/>
                <w:i/>
                <w:iCs/>
                <w:sz w:val="20"/>
                <w:szCs w:val="20"/>
              </w:rPr>
              <w:t>Support at least the following configuration for HST scenario in Rel-17</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rPr>
              <w:t>The same DMRS port(s) can associate with multiple TCI states</w:t>
            </w:r>
          </w:p>
          <w:p>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other details </w:t>
            </w:r>
          </w:p>
          <w:p>
            <w:pPr>
              <w:snapToGrid w:val="0"/>
              <w:spacing w:after="0" w:line="240" w:lineRule="auto"/>
              <w:rPr>
                <w:rFonts w:ascii="Times New Roman" w:hAnsi="Times New Roman"/>
                <w:i/>
                <w:iCs/>
                <w:sz w:val="20"/>
                <w:szCs w:val="20"/>
              </w:rPr>
            </w:pPr>
            <w:r>
              <w:rPr>
                <w:rFonts w:ascii="Times New Roman" w:hAnsi="Times New Roman"/>
                <w:i/>
                <w:iCs/>
                <w:sz w:val="20"/>
                <w:szCs w:val="20"/>
              </w:rPr>
              <w:t>Note: DMRS and PDCCH/PDSCH from different TRPs are transmitted in SFN manner</w:t>
            </w:r>
          </w:p>
          <w:p>
            <w:pPr>
              <w:snapToGrid w:val="0"/>
              <w:spacing w:after="0"/>
              <w:rPr>
                <w:rFonts w:ascii="Times New Roman" w:hAnsi="Times New Roman"/>
                <w:b/>
                <w:bCs/>
                <w:i/>
                <w:iCs/>
                <w:sz w:val="20"/>
                <w:szCs w:val="20"/>
                <w:u w:val="single"/>
              </w:rPr>
            </w:pPr>
          </w:p>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#2:</w:t>
            </w:r>
          </w:p>
          <w:p>
            <w:pPr>
              <w:pStyle w:val="96"/>
              <w:snapToGrid w:val="0"/>
              <w:spacing w:after="0" w:line="240" w:lineRule="auto"/>
              <w:ind w:left="0" w:leftChars="0"/>
              <w:jc w:val="both"/>
              <w:rPr>
                <w:rFonts w:ascii="Times New Roman" w:hAnsi="Times New Roman"/>
                <w:i/>
                <w:iCs/>
                <w:sz w:val="20"/>
                <w:szCs w:val="20"/>
                <w:lang w:eastAsia="ko-KR"/>
              </w:rPr>
            </w:pPr>
            <w:r>
              <w:rPr>
                <w:rFonts w:ascii="Times New Roman" w:hAnsi="Times New Roman"/>
                <w:i/>
                <w:iCs/>
                <w:sz w:val="20"/>
                <w:szCs w:val="20"/>
                <w:lang w:eastAsia="ko-KR"/>
              </w:rPr>
              <w:t>When the same DMRS port(s) are associated with two TCI states containing TRS as source reference signal, at least one variant is supported for Rel-17 HST-SFN scenario based on further evaluations</w:t>
            </w:r>
          </w:p>
          <w:p>
            <w:pPr>
              <w:numPr>
                <w:ilvl w:val="0"/>
                <w:numId w:val="5"/>
              </w:numPr>
              <w:snapToGrid w:val="0"/>
              <w:spacing w:after="0" w:line="240" w:lineRule="auto"/>
              <w:rPr>
                <w:rFonts w:ascii="Times New Roman" w:hAnsi="Times New Roman"/>
                <w:i/>
                <w:iCs/>
                <w:sz w:val="20"/>
                <w:szCs w:val="20"/>
              </w:rPr>
            </w:pPr>
            <w:r>
              <w:rPr>
                <w:rFonts w:ascii="Times New Roman" w:hAnsi="Times New Roman"/>
                <w:b/>
                <w:i/>
                <w:iCs/>
                <w:sz w:val="20"/>
                <w:szCs w:val="20"/>
              </w:rPr>
              <w:t>Variant A</w:t>
            </w:r>
            <w:r>
              <w:rPr>
                <w:rFonts w:ascii="Times New Roman" w:hAnsi="Times New Roman"/>
                <w:i/>
                <w:iCs/>
                <w:sz w:val="20"/>
                <w:szCs w:val="20"/>
              </w:rPr>
              <w:t>: One of the TCI state can be associated with {average delay, delay spread} and another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B</w:t>
            </w:r>
            <w:r>
              <w:rPr>
                <w:rFonts w:ascii="Times New Roman" w:hAnsi="Times New Roman"/>
                <w:i/>
                <w:iCs/>
                <w:sz w:val="20"/>
                <w:szCs w:val="20"/>
                <w:lang w:eastAsia="ko-KR"/>
              </w:rPr>
              <w:t>: One of the TCI state can be associated with {average delay, delay spread} and another TCI state with {Doppler shift, Doppler spread} (i.e., QCL-TypeB)</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C</w:t>
            </w:r>
            <w:r>
              <w:rPr>
                <w:rFonts w:ascii="Times New Roman" w:hAnsi="Times New Roman"/>
                <w:i/>
                <w:iCs/>
                <w:sz w:val="20"/>
                <w:szCs w:val="20"/>
                <w:lang w:eastAsia="ko-KR"/>
              </w:rPr>
              <w:t>: One of the TCI state can be associated with {delay spread}  and another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E</w:t>
            </w:r>
            <w:r>
              <w:rPr>
                <w:rFonts w:ascii="Times New Roman" w:hAnsi="Times New Roman"/>
                <w:i/>
                <w:iCs/>
                <w:sz w:val="20"/>
                <w:szCs w:val="20"/>
                <w:lang w:eastAsia="ko-KR"/>
              </w:rPr>
              <w:t>: Both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FFS: Indication method to apply QCL, e.g., via new QCL-type, or reuse existing QCL-type while UE to ignore certain QCL properties</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Each TCI state in the above variants may be additionally associated with {Spatial Rx parameter} (i.e., QCL-TypeD)</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Companies are encouraged to provide evaluation results for the above variants based on agreed EVM from RAN1#102e meeting</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Above variants are applicable to scheme 1 and/or TRP based pre-compensation as a reference for evaluation.</w:t>
            </w:r>
          </w:p>
          <w:p>
            <w:pPr>
              <w:numPr>
                <w:ilvl w:val="0"/>
                <w:numId w:val="5"/>
              </w:numPr>
              <w:snapToGrid w:val="0"/>
              <w:spacing w:after="0" w:line="240" w:lineRule="auto"/>
              <w:rPr>
                <w:rFonts w:ascii="Times New Roman" w:hAnsi="Times New Roman"/>
                <w:sz w:val="20"/>
                <w:szCs w:val="20"/>
              </w:rPr>
            </w:pPr>
            <w:r>
              <w:rPr>
                <w:rFonts w:ascii="Times New Roman" w:hAnsi="Times New Roman"/>
                <w:i/>
                <w:iCs/>
                <w:sz w:val="20"/>
                <w:szCs w:val="20"/>
                <w:lang w:eastAsia="ko-KR"/>
              </w:rPr>
              <w:t>This agreement is for the purpose of evaluation and does not imply the support or lack of support of scheme 1 and/or TRP based pre-compensation</w:t>
            </w:r>
          </w:p>
        </w:tc>
      </w:tr>
    </w:tbl>
    <w:p>
      <w:pPr>
        <w:snapToGrid w:val="0"/>
        <w:spacing w:line="240" w:lineRule="auto"/>
        <w:jc w:val="both"/>
        <w:rPr>
          <w:rFonts w:ascii="Times New Roman" w:hAnsi="Times New Roman"/>
          <w:sz w:val="20"/>
          <w:szCs w:val="20"/>
        </w:rPr>
      </w:pPr>
    </w:p>
    <w:p>
      <w:pPr>
        <w:snapToGrid w:val="0"/>
        <w:spacing w:line="240" w:lineRule="auto"/>
        <w:jc w:val="both"/>
        <w:rPr>
          <w:rFonts w:ascii="Times New Roman" w:hAnsi="Times New Roman"/>
          <w:sz w:val="20"/>
          <w:szCs w:val="20"/>
        </w:rPr>
      </w:pPr>
      <w:r>
        <w:rPr>
          <w:rFonts w:hint="eastAsia" w:ascii="Times New Roman" w:hAnsi="Times New Roman"/>
          <w:sz w:val="20"/>
          <w:szCs w:val="20"/>
        </w:rPr>
        <w:t xml:space="preserve">For UE based solution and network based solution (frequency shift pre-compensation), different </w:t>
      </w:r>
      <w:r>
        <w:rPr>
          <w:rFonts w:ascii="Times New Roman" w:hAnsi="Times New Roman"/>
          <w:sz w:val="20"/>
          <w:szCs w:val="20"/>
        </w:rPr>
        <w:t>v</w:t>
      </w:r>
      <w:r>
        <w:rPr>
          <w:rFonts w:hint="eastAsia" w:ascii="Times New Roman" w:hAnsi="Times New Roman"/>
          <w:sz w:val="20"/>
          <w:szCs w:val="20"/>
        </w:rPr>
        <w:t>ariants above for QCL assumptions may be needed as we analyze in the remaining subsections.</w:t>
      </w:r>
    </w:p>
    <w:p>
      <w:pPr>
        <w:pStyle w:val="4"/>
        <w:snapToGrid w:val="0"/>
        <w:rPr>
          <w:rFonts w:ascii="Times New Roman" w:hAnsi="Times New Roman"/>
          <w:sz w:val="24"/>
          <w:szCs w:val="24"/>
          <w:lang w:val="en-US"/>
        </w:rPr>
      </w:pPr>
      <w:r>
        <w:rPr>
          <w:rFonts w:hint="eastAsia" w:ascii="Times New Roman" w:hAnsi="Times New Roman"/>
          <w:sz w:val="24"/>
          <w:szCs w:val="24"/>
          <w:lang w:val="en-US"/>
        </w:rPr>
        <w:t>Solution1: separate f</w:t>
      </w:r>
      <w:r>
        <w:rPr>
          <w:rFonts w:ascii="Times New Roman" w:hAnsi="Times New Roman"/>
          <w:sz w:val="24"/>
          <w:szCs w:val="24"/>
          <w:lang w:val="en-US"/>
        </w:rPr>
        <w:t xml:space="preserve">requency offset </w:t>
      </w:r>
      <w:r>
        <w:rPr>
          <w:rFonts w:hint="eastAsia" w:ascii="Times New Roman" w:hAnsi="Times New Roman"/>
          <w:sz w:val="24"/>
          <w:szCs w:val="24"/>
          <w:lang w:val="en-US"/>
        </w:rPr>
        <w:t>estimation</w:t>
      </w:r>
      <w:r>
        <w:rPr>
          <w:rFonts w:ascii="Times New Roman" w:hAnsi="Times New Roman"/>
          <w:sz w:val="24"/>
          <w:szCs w:val="24"/>
          <w:lang w:val="en-US"/>
        </w:rPr>
        <w:t xml:space="preserve"> at </w:t>
      </w:r>
      <w:r>
        <w:rPr>
          <w:rFonts w:hint="eastAsia" w:ascii="Times New Roman" w:hAnsi="Times New Roman"/>
          <w:sz w:val="24"/>
          <w:szCs w:val="24"/>
          <w:lang w:val="en-US"/>
        </w:rPr>
        <w:t xml:space="preserve">UE </w:t>
      </w:r>
      <w:r>
        <w:rPr>
          <w:rFonts w:ascii="Times New Roman" w:hAnsi="Times New Roman"/>
          <w:sz w:val="24"/>
          <w:szCs w:val="24"/>
          <w:lang w:val="en-US"/>
        </w:rPr>
        <w:t>side</w:t>
      </w:r>
    </w:p>
    <w:p>
      <w:pPr>
        <w:snapToGrid w:val="0"/>
        <w:spacing w:line="240" w:lineRule="auto"/>
        <w:jc w:val="both"/>
        <w:rPr>
          <w:rFonts w:ascii="Times New Roman" w:hAnsi="Times New Roman"/>
          <w:sz w:val="20"/>
          <w:szCs w:val="20"/>
        </w:rPr>
      </w:pPr>
      <w:r>
        <w:rPr>
          <w:rFonts w:hint="eastAsia" w:ascii="Times New Roman" w:hAnsi="Times New Roman"/>
          <w:sz w:val="20"/>
          <w:szCs w:val="20"/>
        </w:rPr>
        <w:t xml:space="preserve">For this UE based solution, as described in </w:t>
      </w:r>
      <w:r>
        <w:rPr>
          <w:rFonts w:ascii="Times New Roman" w:hAnsi="Times New Roman"/>
          <w:sz w:val="20"/>
          <w:szCs w:val="20"/>
        </w:rPr>
        <w:t xml:space="preserve">the </w:t>
      </w:r>
      <w:r>
        <w:rPr>
          <w:rFonts w:hint="eastAsia" w:ascii="Times New Roman" w:hAnsi="Times New Roman"/>
          <w:sz w:val="20"/>
          <w:szCs w:val="20"/>
        </w:rPr>
        <w:t xml:space="preserve">above </w:t>
      </w:r>
      <w:r>
        <w:rPr>
          <w:rFonts w:ascii="Times New Roman" w:hAnsi="Times New Roman"/>
          <w:sz w:val="20"/>
          <w:szCs w:val="20"/>
        </w:rPr>
        <w:t>a</w:t>
      </w:r>
      <w:r>
        <w:rPr>
          <w:rFonts w:hint="eastAsia" w:ascii="Times New Roman" w:hAnsi="Times New Roman"/>
          <w:sz w:val="20"/>
          <w:szCs w:val="20"/>
        </w:rPr>
        <w:t xml:space="preserve">greement#1, two TCI states corresponding to two TRS resource sets respectively can be configured to the SFN based PDSCH transmission. Then, UE can estimate frequency offset </w:t>
      </w:r>
      <w:r>
        <w:rPr>
          <w:rFonts w:hint="eastAsia" w:ascii="Times New Roman" w:hAnsi="Times New Roman"/>
          <w:position w:val="-10"/>
          <w:sz w:val="20"/>
          <w:szCs w:val="20"/>
        </w:rPr>
        <w:object>
          <v:shape id="_x0000_i1025" o:spt="75" type="#_x0000_t75" style="height:15.2pt;width:16.9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26" o:spt="75" type="#_x0000_t75" style="height:15.2pt;width:16.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sz w:val="20"/>
          <w:szCs w:val="20"/>
        </w:rPr>
        <w:t xml:space="preserve"> separately. From the analysis of our previous contribution [5], separate frequency offset estimation based on scheme 1 (one DMRS CDM group) can make better performance than SFN mannered TRS. Also, in our previous contribution [4], scheme1 makes better performance than scheme 2 (different DMRS CDM groups for two TRPs), that mainly because scheme 2 with distributed DMRS ports introduces too much DMRS overhead. </w:t>
      </w:r>
    </w:p>
    <w:p>
      <w:pPr>
        <w:snapToGrid w:val="0"/>
        <w:spacing w:line="240" w:lineRule="auto"/>
        <w:jc w:val="both"/>
        <w:rPr>
          <w:rFonts w:ascii="Times New Roman" w:hAnsi="Times New Roman"/>
          <w:sz w:val="20"/>
          <w:szCs w:val="20"/>
        </w:rPr>
      </w:pPr>
      <w:r>
        <w:rPr>
          <w:rFonts w:hint="eastAsia" w:ascii="Times New Roman" w:hAnsi="Times New Roman"/>
          <w:sz w:val="20"/>
          <w:szCs w:val="20"/>
        </w:rPr>
        <w:t>Specifically, at UE side, UE needs to track two TRS resource sets from different TRPs and estimates all large scale parameters including Doppler shift, Doppler spread, average delay, delay spread and QCL type-D (QCL type-D only exists in FR2) from two TRS resource sets separately. At gNB side, it is unnecessary to do any pre-compensation operations.</w:t>
      </w:r>
    </w:p>
    <w:p>
      <w:pPr>
        <w:snapToGrid w:val="0"/>
        <w:spacing w:line="240" w:lineRule="auto"/>
        <w:jc w:val="both"/>
        <w:rPr>
          <w:rFonts w:ascii="Times New Roman" w:hAnsi="Times New Roman"/>
          <w:sz w:val="20"/>
          <w:szCs w:val="20"/>
        </w:rPr>
      </w:pPr>
      <w:r>
        <w:rPr>
          <w:rFonts w:hint="eastAsia" w:ascii="Times New Roman" w:hAnsi="Times New Roman"/>
          <w:sz w:val="20"/>
          <w:szCs w:val="20"/>
        </w:rPr>
        <w:t>In addition, because of high UE speed and mostly LoS link propagation, PDSCH transmission rank is usually limited, e.g. up to rank 2. It is natural to restrict all allocated DMRS ports within one CDM group for SFN mannered PDSCH transmission. Then, it could be possible to support dynamic switching between MTRP SDM and SFN manner differentiated by the number of CDM groups as described in section 2.1.3.</w:t>
      </w:r>
    </w:p>
    <w:p>
      <w:pPr>
        <w:pStyle w:val="96"/>
        <w:numPr>
          <w:ilvl w:val="255"/>
          <w:numId w:val="0"/>
        </w:numPr>
        <w:snapToGrid w:val="0"/>
        <w:spacing w:after="0" w:line="240" w:lineRule="auto"/>
        <w:contextualSpacing/>
        <w:jc w:val="both"/>
        <w:rPr>
          <w:rFonts w:ascii="Times New Roman" w:hAnsi="Times New Roman"/>
          <w:i/>
          <w:iCs/>
          <w:sz w:val="20"/>
          <w:szCs w:val="20"/>
        </w:rPr>
      </w:pPr>
      <w:bookmarkStart w:id="7" w:name="OLE_LINK4"/>
      <w:r>
        <w:rPr>
          <w:rFonts w:hint="eastAsia" w:ascii="Times New Roman" w:hAnsi="Times New Roman"/>
          <w:b/>
          <w:bCs/>
          <w:i/>
          <w:iCs/>
          <w:sz w:val="20"/>
          <w:szCs w:val="20"/>
        </w:rPr>
        <w:t xml:space="preserve">Proposal 1: </w:t>
      </w:r>
      <w:r>
        <w:rPr>
          <w:rFonts w:hint="eastAsia" w:ascii="Times New Roman" w:hAnsi="Times New Roman"/>
          <w:bCs/>
          <w:i/>
          <w:iCs/>
          <w:sz w:val="20"/>
          <w:szCs w:val="20"/>
        </w:rPr>
        <w:t xml:space="preserve">For SFN based PDSCH transmission in HST, support all DMRS ports are within one CDM group and can be indicated with two </w:t>
      </w:r>
      <w:r>
        <w:rPr>
          <w:rFonts w:ascii="Times New Roman" w:hAnsi="Times New Roman"/>
          <w:i/>
          <w:iCs/>
          <w:sz w:val="20"/>
          <w:szCs w:val="20"/>
          <w:lang w:eastAsia="ko-KR"/>
        </w:rPr>
        <w:t>TCI states</w:t>
      </w:r>
      <w:r>
        <w:rPr>
          <w:rFonts w:hint="eastAsia" w:ascii="Times New Roman" w:hAnsi="Times New Roman"/>
          <w:i/>
          <w:iCs/>
          <w:sz w:val="20"/>
          <w:szCs w:val="20"/>
        </w:rPr>
        <w:t xml:space="preserve"> where each one </w:t>
      </w:r>
      <w:r>
        <w:rPr>
          <w:rFonts w:ascii="Times New Roman" w:hAnsi="Times New Roman"/>
          <w:i/>
          <w:iCs/>
          <w:sz w:val="20"/>
          <w:szCs w:val="20"/>
          <w:lang w:eastAsia="ko-KR"/>
        </w:rPr>
        <w:t>can be associated with {average delay, delay spread, Doppler shift, Doppler spread} (i.e., QCL-TypeA)</w:t>
      </w:r>
      <w:r>
        <w:rPr>
          <w:rFonts w:hint="eastAsia" w:ascii="Times New Roman" w:hAnsi="Times New Roman"/>
          <w:i/>
          <w:iCs/>
          <w:sz w:val="20"/>
          <w:szCs w:val="20"/>
        </w:rPr>
        <w:t>.</w:t>
      </w:r>
    </w:p>
    <w:bookmarkEnd w:id="7"/>
    <w:p>
      <w:pPr>
        <w:snapToGrid w:val="0"/>
        <w:spacing w:line="240" w:lineRule="auto"/>
        <w:jc w:val="both"/>
        <w:rPr>
          <w:rFonts w:ascii="Times New Roman" w:hAnsi="Times New Roman"/>
          <w:sz w:val="20"/>
          <w:szCs w:val="20"/>
        </w:rPr>
      </w:pPr>
    </w:p>
    <w:p>
      <w:pPr>
        <w:pStyle w:val="4"/>
        <w:snapToGrid w:val="0"/>
        <w:spacing w:before="180" w:beforeLines="50" w:after="180" w:afterLines="50" w:line="240" w:lineRule="auto"/>
        <w:rPr>
          <w:rFonts w:ascii="Times New Roman" w:hAnsi="Times New Roman"/>
          <w:sz w:val="24"/>
          <w:szCs w:val="24"/>
          <w:lang w:val="en-US"/>
        </w:rPr>
      </w:pPr>
      <w:r>
        <w:rPr>
          <w:rFonts w:ascii="Times New Roman" w:hAnsi="Times New Roman"/>
          <w:sz w:val="24"/>
          <w:szCs w:val="24"/>
          <w:lang w:val="en-US"/>
        </w:rPr>
        <w:t>Solution</w:t>
      </w:r>
      <w:r>
        <w:rPr>
          <w:rFonts w:hint="eastAsia" w:ascii="Times New Roman" w:hAnsi="Times New Roman"/>
          <w:sz w:val="24"/>
          <w:szCs w:val="24"/>
          <w:lang w:val="en-US"/>
        </w:rPr>
        <w:t>2</w:t>
      </w:r>
      <w:r>
        <w:rPr>
          <w:rFonts w:ascii="Times New Roman" w:hAnsi="Times New Roman"/>
          <w:sz w:val="24"/>
          <w:szCs w:val="24"/>
          <w:lang w:val="en-US"/>
        </w:rPr>
        <w:t>: frequency offset pre-compensation at gNB side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the solution at gNB side, the main motivation is to make channel frequency offset from two TRPs to UE aligned. The pre-compensation procedure is shown in Figure 1 and several steps are listed as following to elaborate the solution.</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1: </w:t>
      </w:r>
      <w:bookmarkStart w:id="8" w:name="OLE_LINK8"/>
      <w:r>
        <w:rPr>
          <w:rFonts w:hint="eastAsia" w:ascii="Times New Roman" w:hAnsi="Times New Roman"/>
          <w:sz w:val="20"/>
          <w:szCs w:val="20"/>
        </w:rPr>
        <w:t>TRS0</w:t>
      </w:r>
      <w:bookmarkEnd w:id="8"/>
      <w:r>
        <w:rPr>
          <w:rFonts w:hint="eastAsia" w:ascii="Times New Roman" w:hAnsi="Times New Roman"/>
          <w:sz w:val="20"/>
          <w:szCs w:val="20"/>
        </w:rPr>
        <w:t xml:space="preserve"> is first transmitted from TRP0. Based on estimation of TRS</w:t>
      </w:r>
      <w:r>
        <w:rPr>
          <w:rFonts w:hint="eastAsia" w:ascii="Times New Roman" w:hAnsi="Times New Roman"/>
          <w:sz w:val="20"/>
          <w:szCs w:val="20"/>
          <w:vertAlign w:val="subscript"/>
        </w:rPr>
        <w:t>0</w:t>
      </w:r>
      <w:r>
        <w:rPr>
          <w:rFonts w:hint="eastAsia" w:ascii="Times New Roman" w:hAnsi="Times New Roman"/>
          <w:sz w:val="20"/>
          <w:szCs w:val="20"/>
        </w:rPr>
        <w:t xml:space="preserve">, UE modulate its center frequency for UL signal transmission, e.g. SRS. Because of Doppler shift between UE and TRP0, the center frequency of SRS transmission will be </w:t>
      </w:r>
      <w:bookmarkStart w:id="9" w:name="OLE_LINK1"/>
      <w:r>
        <w:rPr>
          <w:rFonts w:hint="eastAsia" w:ascii="Times New Roman" w:hAnsi="Times New Roman"/>
          <w:position w:val="-10"/>
          <w:sz w:val="20"/>
          <w:szCs w:val="20"/>
        </w:rPr>
        <w:object>
          <v:shape id="_x0000_i1027" o:spt="75" type="#_x0000_t75" style="height:18pt;width:36.3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bookmarkEnd w:id="9"/>
      <w:r>
        <w:rPr>
          <w:rFonts w:hint="eastAsia" w:ascii="Times New Roman" w:hAnsi="Times New Roman"/>
          <w:sz w:val="20"/>
          <w:szCs w:val="20"/>
        </w:rPr>
        <w:t>;</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2:</w:t>
      </w:r>
      <w:r>
        <w:rPr>
          <w:rFonts w:ascii="Times New Roman" w:hAnsi="Times New Roman"/>
          <w:sz w:val="20"/>
          <w:szCs w:val="20"/>
        </w:rPr>
        <w:t xml:space="preserve"> </w:t>
      </w:r>
      <w:r>
        <w:rPr>
          <w:rFonts w:hint="eastAsia" w:ascii="Times New Roman" w:hAnsi="Times New Roman"/>
          <w:sz w:val="20"/>
          <w:szCs w:val="20"/>
        </w:rPr>
        <w:t>TRP0</w:t>
      </w:r>
      <w:bookmarkStart w:id="10" w:name="OLE_LINK2"/>
      <w:r>
        <w:rPr>
          <w:rFonts w:hint="eastAsia" w:ascii="Times New Roman" w:hAnsi="Times New Roman"/>
          <w:sz w:val="20"/>
          <w:szCs w:val="20"/>
        </w:rPr>
        <w:t xml:space="preserve"> receives SRS based on the center frequency </w:t>
      </w:r>
      <w:r>
        <w:rPr>
          <w:rFonts w:hint="eastAsia" w:ascii="Times New Roman" w:hAnsi="Times New Roman"/>
          <w:position w:val="-10"/>
          <w:sz w:val="20"/>
          <w:szCs w:val="20"/>
        </w:rPr>
        <w:object>
          <v:shape id="_x0000_i1028" o:spt="75" type="#_x0000_t75" style="height:18pt;width:4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bookmarkEnd w:id="10"/>
      <w:r>
        <w:rPr>
          <w:rFonts w:hint="eastAsia" w:ascii="Times New Roman" w:hAnsi="Times New Roman"/>
          <w:sz w:val="20"/>
          <w:szCs w:val="20"/>
        </w:rPr>
        <w:t xml:space="preserve">, and TRP1 received SRS based on the center frequency </w:t>
      </w:r>
      <w:bookmarkStart w:id="11" w:name="OLE_LINK16"/>
      <w:r>
        <w:rPr>
          <w:rFonts w:hint="eastAsia" w:ascii="Times New Roman" w:hAnsi="Times New Roman"/>
          <w:position w:val="-10"/>
          <w:sz w:val="20"/>
          <w:szCs w:val="20"/>
        </w:rPr>
        <w:object>
          <v:shape id="_x0000_i1029" o:spt="75" type="#_x0000_t75" style="height:18pt;width:41.3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bookmarkEnd w:id="11"/>
      <w:r>
        <w:rPr>
          <w:rFonts w:hint="eastAsia" w:ascii="Times New Roman" w:hAnsi="Times New Roman"/>
          <w:sz w:val="20"/>
          <w:szCs w:val="20"/>
        </w:rPr>
        <w:t>;</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3: TRP1 can get the frequency offset </w:t>
      </w:r>
      <w:r>
        <w:rPr>
          <w:rFonts w:hint="eastAsia" w:ascii="Times New Roman" w:hAnsi="Times New Roman"/>
          <w:position w:val="-10"/>
          <w:sz w:val="20"/>
          <w:szCs w:val="20"/>
        </w:rPr>
        <w:object>
          <v:shape id="_x0000_i1030" o:spt="75" type="#_x0000_t75" style="height:18pt;width:39.2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Times New Roman" w:hAnsi="Times New Roman"/>
          <w:sz w:val="20"/>
          <w:szCs w:val="20"/>
        </w:rPr>
        <w:t xml:space="preserve"> between TRP1 and TRP0;</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4: TRP1 do frequency offset pre-compensation on PDSCH and DMRS so that the freqeuncy offset of PDSCH and DMRS from two TRPs are the same, but TRS1</w:t>
      </w:r>
      <w:r>
        <w:rPr>
          <w:rFonts w:hint="eastAsia" w:ascii="Times New Roman" w:hAnsi="Times New Roman"/>
          <w:sz w:val="20"/>
          <w:szCs w:val="20"/>
          <w:vertAlign w:val="subscript"/>
        </w:rPr>
        <w:t xml:space="preserve"> </w:t>
      </w:r>
      <w:r>
        <w:rPr>
          <w:rFonts w:hint="eastAsia" w:ascii="Times New Roman" w:hAnsi="Times New Roman"/>
          <w:sz w:val="20"/>
          <w:szCs w:val="20"/>
        </w:rPr>
        <w:t xml:space="preserve">is still transmitted on </w:t>
      </w:r>
      <w:r>
        <w:rPr>
          <w:rFonts w:hint="eastAsia" w:ascii="Times New Roman" w:hAnsi="Times New Roman"/>
          <w:i/>
          <w:iCs/>
          <w:sz w:val="20"/>
          <w:szCs w:val="20"/>
        </w:rPr>
        <w:t>f</w:t>
      </w:r>
      <w:r>
        <w:rPr>
          <w:rFonts w:hint="eastAsia" w:ascii="Times New Roman" w:hAnsi="Times New Roman"/>
          <w:i/>
          <w:iCs/>
          <w:sz w:val="20"/>
          <w:szCs w:val="20"/>
          <w:vertAlign w:val="subscript"/>
        </w:rPr>
        <w:t>c</w:t>
      </w:r>
      <w:r>
        <w:rPr>
          <w:rFonts w:hint="eastAsia" w:ascii="Times New Roman" w:hAnsi="Times New Roman"/>
          <w:sz w:val="20"/>
          <w:szCs w:val="20"/>
        </w:rPr>
        <w:t xml:space="preserve">. Since the transmit center frequency of TRS0 and PDSCH/DMRS are the same, TRS0 can be used for QCL-TypeA estimation including both Doppler parameters and delay parameters. However, TRS1 is used only for delay related estimation. </w:t>
      </w:r>
    </w:p>
    <w:p>
      <w:pPr>
        <w:numPr>
          <w:ilvl w:val="0"/>
          <w:numId w:val="6"/>
        </w:numPr>
        <w:snapToGrid w:val="0"/>
        <w:spacing w:before="180" w:beforeLines="50" w:after="180" w:afterLines="50" w:line="240" w:lineRule="auto"/>
        <w:jc w:val="center"/>
      </w:pPr>
      <w:r>
        <w:drawing>
          <wp:inline distT="0" distB="0" distL="114300" distR="114300">
            <wp:extent cx="5067300" cy="3068955"/>
            <wp:effectExtent l="0" t="0" r="0" b="17145"/>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7"/>
                    <a:stretch>
                      <a:fillRect/>
                    </a:stretch>
                  </pic:blipFill>
                  <pic:spPr>
                    <a:xfrm>
                      <a:off x="0" y="0"/>
                      <a:ext cx="5067300" cy="3068955"/>
                    </a:xfrm>
                    <a:prstGeom prst="rect">
                      <a:avLst/>
                    </a:prstGeom>
                    <a:noFill/>
                    <a:ln>
                      <a:noFill/>
                    </a:ln>
                  </pic:spPr>
                </pic:pic>
              </a:graphicData>
            </a:graphic>
          </wp:inline>
        </w:drawing>
      </w:r>
    </w:p>
    <w:p>
      <w:pPr>
        <w:snapToGrid w:val="0"/>
        <w:spacing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 xml:space="preserve">1. </w:t>
      </w:r>
      <w:r>
        <w:rPr>
          <w:rFonts w:ascii="Times New Roman" w:hAnsi="Times New Roman"/>
          <w:sz w:val="20"/>
          <w:szCs w:val="20"/>
        </w:rPr>
        <w:t xml:space="preserve">Procedure for gNB </w:t>
      </w:r>
      <w:r>
        <w:rPr>
          <w:rFonts w:hint="eastAsia" w:ascii="Times New Roman" w:hAnsi="Times New Roman"/>
          <w:sz w:val="20"/>
          <w:szCs w:val="20"/>
        </w:rPr>
        <w:t>pre-compensation</w:t>
      </w:r>
      <w:r>
        <w:rPr>
          <w:rFonts w:ascii="Times New Roman" w:hAnsi="Times New Roman"/>
          <w:sz w:val="20"/>
          <w:szCs w:val="20"/>
        </w:rPr>
        <w:t xml:space="preserve"> based solution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Most </w:t>
      </w:r>
      <w:r>
        <w:rPr>
          <w:rFonts w:ascii="Times New Roman" w:hAnsi="Times New Roman"/>
          <w:sz w:val="20"/>
          <w:szCs w:val="20"/>
        </w:rPr>
        <w:t xml:space="preserve">of the </w:t>
      </w:r>
      <w:r>
        <w:rPr>
          <w:rFonts w:hint="eastAsia" w:ascii="Times New Roman" w:hAnsi="Times New Roman"/>
          <w:sz w:val="20"/>
          <w:szCs w:val="20"/>
        </w:rPr>
        <w:t>above procedures belong to implementation issues. The new thing is to support two TCI states for the same DMRS port(s). From Figure 1 it can be found the frequency offset is estimated mainly based on TRS0, so UE should get Doppler related parameters based on the TCI state of TRS0, and get the delay related parameters from both of the two TCI states. So UE estimates the Doppler and delay related parameter from one of two TCI states, and only estimate delay related parameters from the other TCI state (i.e. ignore Doppler shift and Doppler spread</w:t>
      </w:r>
      <w:r>
        <w:rPr>
          <w:rFonts w:ascii="Times New Roman" w:hAnsi="Times New Roman"/>
          <w:sz w:val="20"/>
          <w:szCs w:val="20"/>
        </w:rPr>
        <w:t xml:space="preserve"> in QCL-Type A</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specification perspective, there are two ways to support the above procedure</w:t>
      </w:r>
      <w:r>
        <w:rPr>
          <w:rFonts w:ascii="Times New Roman" w:hAnsi="Times New Roman"/>
          <w:sz w:val="20"/>
          <w:szCs w:val="20"/>
        </w:rPr>
        <w:t xml:space="preserve"> as the following Alt 1 and Alt 2.</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Alt.1: A new QCL type E is introduced which may only contain {average delay, delay spread}. </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 is RRC impact for TCI state structure as follows</w:t>
      </w:r>
    </w:p>
    <w:p>
      <w:pPr>
        <w:pStyle w:val="97"/>
        <w:snapToGrid w:val="0"/>
      </w:pPr>
    </w:p>
    <w:p>
      <w:pPr>
        <w:pStyle w:val="97"/>
        <w:snapToGrid w:val="0"/>
      </w:pPr>
      <w:r>
        <w:t xml:space="preserve">TCI-State ::=                       </w:t>
      </w:r>
      <w:r>
        <w:rPr>
          <w:color w:val="993366"/>
        </w:rPr>
        <w:t>SEQUENCE</w:t>
      </w:r>
      <w:r>
        <w:t xml:space="preserve"> {</w:t>
      </w:r>
    </w:p>
    <w:p>
      <w:pPr>
        <w:pStyle w:val="97"/>
        <w:snapToGrid w:val="0"/>
      </w:pPr>
      <w:r>
        <w:t xml:space="preserve">    tci-StateId                         TCI-StateId,</w:t>
      </w:r>
    </w:p>
    <w:p>
      <w:pPr>
        <w:pStyle w:val="97"/>
        <w:snapToGrid w:val="0"/>
      </w:pPr>
      <w:r>
        <w:t xml:space="preserve">    qcl-Type1                           QCL-Info,</w:t>
      </w:r>
    </w:p>
    <w:p>
      <w:pPr>
        <w:pStyle w:val="97"/>
        <w:snapToGrid w:val="0"/>
        <w:rPr>
          <w:color w:val="808080"/>
        </w:rPr>
      </w:pPr>
      <w:r>
        <w:t xml:space="preserve">    qcl-Type2                           QCL-Info                                                    </w:t>
      </w:r>
      <w:r>
        <w:rPr>
          <w:color w:val="993366"/>
        </w:rPr>
        <w:t>OPTIONAL</w:t>
      </w:r>
      <w:r>
        <w:t xml:space="preserve">,   </w:t>
      </w:r>
      <w:r>
        <w:rPr>
          <w:color w:val="808080"/>
        </w:rPr>
        <w:t>-- Need R</w:t>
      </w:r>
    </w:p>
    <w:p>
      <w:pPr>
        <w:pStyle w:val="97"/>
        <w:snapToGrid w:val="0"/>
      </w:pPr>
      <w:r>
        <w:t xml:space="preserve">    ...</w:t>
      </w:r>
    </w:p>
    <w:p>
      <w:pPr>
        <w:pStyle w:val="97"/>
        <w:snapToGrid w:val="0"/>
      </w:pPr>
      <w:r>
        <w:t>}</w:t>
      </w:r>
    </w:p>
    <w:p>
      <w:pPr>
        <w:pStyle w:val="97"/>
        <w:snapToGrid w:val="0"/>
      </w:pPr>
    </w:p>
    <w:p>
      <w:pPr>
        <w:pStyle w:val="97"/>
        <w:snapToGrid w:val="0"/>
      </w:pPr>
      <w:r>
        <w:t xml:space="preserve">QCL-Info ::=                        </w:t>
      </w:r>
      <w:r>
        <w:rPr>
          <w:color w:val="993366"/>
        </w:rPr>
        <w:t>SEQUENCE</w:t>
      </w:r>
      <w:r>
        <w:t xml:space="preserve"> {</w:t>
      </w:r>
    </w:p>
    <w:p>
      <w:pPr>
        <w:pStyle w:val="97"/>
        <w:snapToGrid w:val="0"/>
        <w:rPr>
          <w:color w:val="808080"/>
        </w:rPr>
      </w:pPr>
      <w:r>
        <w:t xml:space="preserve">    cell                                ServCellIndex                                               </w:t>
      </w:r>
      <w:r>
        <w:rPr>
          <w:color w:val="993366"/>
        </w:rPr>
        <w:t>OPTIONAL</w:t>
      </w:r>
      <w:r>
        <w:t xml:space="preserve">,   </w:t>
      </w:r>
      <w:r>
        <w:rPr>
          <w:color w:val="808080"/>
        </w:rPr>
        <w:t>-- Need R</w:t>
      </w:r>
    </w:p>
    <w:p>
      <w:pPr>
        <w:pStyle w:val="97"/>
        <w:snapToGrid w:val="0"/>
        <w:rPr>
          <w:color w:val="808080"/>
        </w:rPr>
      </w:pPr>
      <w:r>
        <w:t xml:space="preserve">    bwp-Id                              BWP-Id                                                      </w:t>
      </w:r>
      <w:r>
        <w:rPr>
          <w:color w:val="993366"/>
        </w:rPr>
        <w:t>OPTIONAL</w:t>
      </w:r>
      <w:r>
        <w:t xml:space="preserve">, </w:t>
      </w:r>
      <w:r>
        <w:rPr>
          <w:color w:val="808080"/>
        </w:rPr>
        <w:t>-- Cond CSI-RS-Indicated</w:t>
      </w:r>
    </w:p>
    <w:p>
      <w:pPr>
        <w:pStyle w:val="97"/>
        <w:snapToGrid w:val="0"/>
      </w:pPr>
      <w:r>
        <w:t xml:space="preserve">    referenceSignal                     </w:t>
      </w:r>
      <w:r>
        <w:rPr>
          <w:color w:val="993366"/>
        </w:rPr>
        <w:t>CHOICE</w:t>
      </w:r>
      <w:r>
        <w:t xml:space="preserve"> {</w:t>
      </w:r>
    </w:p>
    <w:p>
      <w:pPr>
        <w:pStyle w:val="97"/>
        <w:snapToGrid w:val="0"/>
      </w:pPr>
      <w:r>
        <w:t xml:space="preserve">        csi-rs                              NZP-CSI-RS-ResourceId,</w:t>
      </w:r>
    </w:p>
    <w:p>
      <w:pPr>
        <w:pStyle w:val="97"/>
        <w:snapToGrid w:val="0"/>
      </w:pPr>
      <w:r>
        <w:t xml:space="preserve">        ssb                                 SSB-Index</w:t>
      </w:r>
    </w:p>
    <w:p>
      <w:pPr>
        <w:pStyle w:val="97"/>
        <w:snapToGrid w:val="0"/>
      </w:pPr>
      <w:r>
        <w:t xml:space="preserve">    },</w:t>
      </w:r>
    </w:p>
    <w:p>
      <w:pPr>
        <w:pStyle w:val="97"/>
        <w:snapToGrid w:val="0"/>
      </w:pPr>
      <w:r>
        <w:t xml:space="preserve">    qcl-Type                            </w:t>
      </w:r>
      <w:r>
        <w:rPr>
          <w:color w:val="993366"/>
        </w:rPr>
        <w:t>ENUMERA</w:t>
      </w:r>
      <w:bookmarkStart w:id="23" w:name="_GoBack"/>
      <w:bookmarkEnd w:id="23"/>
      <w:r>
        <w:rPr>
          <w:color w:val="993366"/>
        </w:rPr>
        <w:t>TED</w:t>
      </w:r>
      <w:r>
        <w:t xml:space="preserve"> {typeA, typeB, typeC, typeD</w:t>
      </w:r>
      <w:r>
        <w:rPr>
          <w:rFonts w:hint="eastAsia" w:eastAsia="宋体"/>
          <w:b/>
          <w:bCs/>
          <w:lang w:val="en-US" w:eastAsia="zh-CN"/>
        </w:rPr>
        <w:t xml:space="preserve">, </w:t>
      </w:r>
      <w:r>
        <w:rPr>
          <w:rFonts w:hint="eastAsia" w:eastAsia="宋体"/>
          <w:b/>
          <w:bCs/>
          <w:color w:val="FF0000"/>
          <w:u w:val="none"/>
          <w:lang w:val="en-US" w:eastAsia="zh-CN"/>
        </w:rPr>
        <w:t>typeE</w:t>
      </w:r>
      <w:r>
        <w:rPr>
          <w:b/>
          <w:bCs/>
        </w:rPr>
        <w:t>}</w:t>
      </w:r>
      <w:r>
        <w:t>,</w:t>
      </w:r>
    </w:p>
    <w:p>
      <w:pPr>
        <w:pStyle w:val="97"/>
        <w:snapToGrid w:val="0"/>
      </w:pPr>
      <w:r>
        <w:t xml:space="preserve">    ...</w:t>
      </w:r>
    </w:p>
    <w:p>
      <w:pPr>
        <w:pStyle w:val="97"/>
        <w:snapToGrid w:val="0"/>
      </w:pPr>
      <w:r>
        <w:t>}</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number of supported beams will be reduced or the required number of support TCI states should be increased.</w:t>
      </w:r>
    </w:p>
    <w:p>
      <w:pPr>
        <w:numPr>
          <w:ilvl w:val="2"/>
          <w:numId w:val="6"/>
        </w:numPr>
        <w:tabs>
          <w:tab w:val="left" w:pos="840"/>
          <w:tab w:val="clear" w:pos="126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the current specification, maximum 128 TCI states can be configured by RRC signaling usually to PDSCH, PDCCH, CSI-RS and also possible to UL signals as being discussed in agenda 8.1.1 for unified TCI framework. In other words, the same TCI state can be configured to multiple signals. In FR2, 128 TCI states may correspond to 128 beams. However, if the new QCL type E is introduced, one new TCI state which includes the new QCL type E can only be configured for SFN mannered PDSCH (possible also for SFN mannered PDCCH), but impossible to be configured for all other signals including CSI-RS, non-SFN mannered PDSCH, e.g. single-TRP based PDSCH, etc. even the suitable TRS resource is included in the new TCI state. Then, the number of configured TCI states seem split two parts, one part is for SFN mannered PDSCH/PDCCH, the other part is for non-SFN mannered PDCCH, PDSCH, CSI-RS, etc. In such case, the maximum number of support TCI states may need to be increased. Otherwise, maximum 128 beams will not be supported for each signals. </w:t>
      </w:r>
    </w:p>
    <w:p>
      <w:pPr>
        <w:numPr>
          <w:ilvl w:val="3"/>
          <w:numId w:val="6"/>
        </w:numPr>
        <w:tabs>
          <w:tab w:val="left" w:pos="840"/>
          <w:tab w:val="clear" w:pos="168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example, maximum 128 beams are needed for a UE where the first 64 TCI sates corresponding to 64 beams are for TRP 0, and the other 64 TCI states also corresponding to 64 beams are for TRP1. If all of the second 64 TCI states for TRP 1 are new QCL typeE which can only be used for SFN mannered PDCCH/PDSCH, another 64 traditional TCI states should be configured for non-SFN mannered PDCCH/PDSCH, CSI-RS for TRP1. So the number of configured TCI states for TRP 1 should be 64+64=128 for 64 beams. The total number of configured TCI states for both TRP0 and TRP1 should be 64+128 = 192 to support 128 beams.  </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flexibility of activated beams by MACCE will be sacrificed. </w:t>
      </w:r>
    </w:p>
    <w:p>
      <w:pPr>
        <w:numPr>
          <w:ilvl w:val="2"/>
          <w:numId w:val="6"/>
        </w:numPr>
        <w:tabs>
          <w:tab w:val="left" w:pos="840"/>
          <w:tab w:val="clear" w:pos="126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Currently, maximum 8 TCI states can be activated by MACCE, wherein one TCI codepoint can map one or two TCI states. For the TCI codepoint mapping to single TCI state, it can be used for single-TRP transmission. For the TCI codepoint mapping to two TCI states, it probably can be used for Rel-16 MTRP including SDM, FDMA, FDMB, TDMA, TDMB and Rel-17 SFN mannered PDSCH. If the new QCL type E is introduced, a TCI codepoint with the new TCI state can only be used for Rel-17 SFN mannered PDSCH, and not used for Rel-16 MTRP anymore. Thus, two separate TCI codepoints should be used for Rel-17 SFN and Rel-16 MTRP scheme respectively even they mapped the same TRS resource as QCL source.</w:t>
      </w:r>
    </w:p>
    <w:p>
      <w:pPr>
        <w:numPr>
          <w:ilvl w:val="3"/>
          <w:numId w:val="6"/>
        </w:numPr>
        <w:tabs>
          <w:tab w:val="left" w:pos="840"/>
          <w:tab w:val="clear" w:pos="168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example, 8 TCI codepoints can only support maximum 4 beam pairs for MTRP including Rel-17 SFN and Rel-16 MTRP schemes.</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Alt.2: when frequency offset pre-compensation solution is indicated for PDSCH transmission, UE only uses {average delay, delay spread} from the second TCI state (or the first TCI state), that is UE ignores {Doppler shift, Doppler spread} </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There is no RRC impact for TCI state structure. The TCI state structure, indication and activation by MACCE are exactly the same as Rel-16. </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There is not any flexibility sacrifice compared with </w:t>
      </w:r>
      <w:r>
        <w:rPr>
          <w:rFonts w:ascii="Times New Roman" w:hAnsi="Times New Roman"/>
          <w:sz w:val="20"/>
          <w:szCs w:val="20"/>
        </w:rPr>
        <w:t>Rel-16</w:t>
      </w:r>
      <w:r>
        <w:rPr>
          <w:rFonts w:hint="eastAsia" w:ascii="Times New Roman" w:hAnsi="Times New Roman"/>
          <w:sz w:val="20"/>
          <w:szCs w:val="20"/>
        </w:rPr>
        <w:t xml:space="preserve">. </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FR1 for MTRP, only two TCI states are needed for Alt.2, but at least three TCI states are needed for Alt.1.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addition, because of high UE speed and mostly LoS link propagation like as described in section 2.1.1, it is natural to restrict all allocated DMRS ports within one CDM group for SFN mannered PDSCH transmission.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When frequency offset pre-compensation solution is indicated for PDSCH transmission, UE only uses {average delay, delay spread} from the second TCI state (or the first TCI state), that is UE ignores {Doppler shift, Doppler spread} from the second TCI state (or the first TCI state). </w:t>
      </w:r>
    </w:p>
    <w:p>
      <w:pPr>
        <w:snapToGrid w:val="0"/>
        <w:spacing w:before="180" w:beforeLines="50" w:after="180" w:afterLines="50" w:line="240" w:lineRule="auto"/>
        <w:jc w:val="both"/>
        <w:rPr>
          <w:rFonts w:ascii="Times New Roman" w:hAnsi="Times New Roman"/>
          <w:sz w:val="20"/>
          <w:szCs w:val="20"/>
        </w:rPr>
      </w:pPr>
      <w:bookmarkStart w:id="12" w:name="OLE_LINK6"/>
      <w:bookmarkStart w:id="13" w:name="OLE_LINK14"/>
      <w:r>
        <w:rPr>
          <w:rFonts w:hint="eastAsia" w:ascii="Times New Roman" w:hAnsi="Times New Roman"/>
          <w:sz w:val="20"/>
          <w:szCs w:val="20"/>
        </w:rPr>
        <w:t>To compare the performance of frequency offset pre-compensation and DPS, we provide some simulation results in this section. More simulation results compared among Rel-15/16 spec based SFN, UE based SFN and gNB based frequency offset pre-compensation can be found in our previous contribution [4].</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the simulation, UE is assumed in the middle of the two TRPs and the two TRPs are assumed the same transmitting power, the other simulation parameters can be found in the appendix. From the simulation results in Figure 2, Doppler shift pre-compensation at gNB side makes better performance than DPS because of the combining gain from two TRPs. </w:t>
      </w:r>
    </w:p>
    <w:p>
      <w:pPr>
        <w:snapToGrid w:val="0"/>
        <w:spacing w:before="180" w:beforeLines="50" w:after="180" w:afterLines="50" w:line="240" w:lineRule="auto"/>
        <w:jc w:val="center"/>
      </w:pPr>
      <w:r>
        <w:drawing>
          <wp:inline distT="0" distB="0" distL="114300" distR="114300">
            <wp:extent cx="3337560" cy="19221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337560" cy="192214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xml:space="preserve"> simulation results with UE in the middle of two TRPs</w:t>
      </w:r>
    </w:p>
    <w:p>
      <w:pPr>
        <w:snapToGrid w:val="0"/>
        <w:spacing w:before="180" w:beforeLines="50" w:after="180" w:afterLines="50" w:line="240" w:lineRule="auto"/>
        <w:jc w:val="both"/>
        <w:rPr>
          <w:rFonts w:ascii="Times New Roman" w:hAnsi="Times New Roman"/>
          <w:b/>
          <w:bCs/>
          <w:iCs/>
          <w:sz w:val="20"/>
          <w:szCs w:val="20"/>
          <w:lang w:val="en-US"/>
        </w:rPr>
      </w:pPr>
      <w:r>
        <w:rPr>
          <w:rFonts w:ascii="Times New Roman" w:hAnsi="Times New Roman"/>
          <w:iCs/>
          <w:sz w:val="20"/>
          <w:szCs w:val="20"/>
        </w:rPr>
        <w:t>F</w:t>
      </w:r>
      <w:r>
        <w:rPr>
          <w:rFonts w:hint="eastAsia" w:ascii="Times New Roman" w:hAnsi="Times New Roman"/>
          <w:iCs/>
          <w:sz w:val="20"/>
          <w:szCs w:val="20"/>
        </w:rPr>
        <w:t>rom the above analysis, frequency offset pre-compensation at gNB side should be supported</w:t>
      </w:r>
    </w:p>
    <w:bookmarkEnd w:id="12"/>
    <w:bookmarkEnd w:id="13"/>
    <w:p>
      <w:pPr>
        <w:pStyle w:val="4"/>
        <w:snapToGrid w:val="0"/>
        <w:spacing w:before="180" w:beforeLines="50" w:after="180" w:afterLines="50" w:line="240" w:lineRule="auto"/>
        <w:rPr>
          <w:rFonts w:ascii="Times New Roman" w:hAnsi="Times New Roman"/>
          <w:sz w:val="24"/>
          <w:szCs w:val="24"/>
          <w:lang w:val="en-US"/>
        </w:rPr>
      </w:pPr>
      <w:r>
        <w:rPr>
          <w:rFonts w:hint="eastAsia" w:ascii="Times New Roman" w:hAnsi="Times New Roman"/>
          <w:sz w:val="24"/>
          <w:szCs w:val="24"/>
          <w:lang w:val="en-US"/>
        </w:rPr>
        <w:t>Signaling details</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Considering that the frequency offset caused by high speed in the HST-SFN scenario can be solved at the gNB side or the UE side by using different methods, gNB should inform UE which method is used, so at least one RRC signaling should be introduced. This RRC signaling can </w:t>
      </w:r>
      <w:r>
        <w:rPr>
          <w:rFonts w:ascii="Times New Roman" w:hAnsi="Times New Roman"/>
          <w:iCs/>
          <w:sz w:val="20"/>
          <w:szCs w:val="20"/>
        </w:rPr>
        <w:t xml:space="preserve">be </w:t>
      </w:r>
      <w:r>
        <w:rPr>
          <w:rFonts w:hint="eastAsia" w:ascii="Times New Roman" w:hAnsi="Times New Roman"/>
          <w:iCs/>
          <w:sz w:val="20"/>
          <w:szCs w:val="20"/>
        </w:rPr>
        <w:t xml:space="preserve">used to configure that which SFN based method is used or neither of the two methods are used.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In addition, there seems no benefit to support dynamic switching between SFN based methods and Rel-16 TDM</w:t>
      </w:r>
      <w:r>
        <w:rPr>
          <w:rFonts w:ascii="Times New Roman" w:hAnsi="Times New Roman"/>
          <w:iCs/>
          <w:sz w:val="20"/>
          <w:szCs w:val="20"/>
        </w:rPr>
        <w:t>-</w:t>
      </w:r>
      <w:r>
        <w:rPr>
          <w:rFonts w:hint="eastAsia" w:ascii="Times New Roman" w:hAnsi="Times New Roman"/>
          <w:iCs/>
          <w:sz w:val="20"/>
          <w:szCs w:val="20"/>
        </w:rPr>
        <w:t>A/TDM</w:t>
      </w:r>
      <w:r>
        <w:rPr>
          <w:rFonts w:ascii="Times New Roman" w:hAnsi="Times New Roman"/>
          <w:iCs/>
          <w:sz w:val="20"/>
          <w:szCs w:val="20"/>
        </w:rPr>
        <w:t>-</w:t>
      </w:r>
      <w:r>
        <w:rPr>
          <w:rFonts w:hint="eastAsia" w:ascii="Times New Roman" w:hAnsi="Times New Roman"/>
          <w:iCs/>
          <w:sz w:val="20"/>
          <w:szCs w:val="20"/>
        </w:rPr>
        <w:t>B/FDM</w:t>
      </w:r>
      <w:r>
        <w:rPr>
          <w:rFonts w:ascii="Times New Roman" w:hAnsi="Times New Roman"/>
          <w:iCs/>
          <w:sz w:val="20"/>
          <w:szCs w:val="20"/>
        </w:rPr>
        <w:t>-</w:t>
      </w:r>
      <w:r>
        <w:rPr>
          <w:rFonts w:hint="eastAsia" w:ascii="Times New Roman" w:hAnsi="Times New Roman"/>
          <w:iCs/>
          <w:sz w:val="20"/>
          <w:szCs w:val="20"/>
        </w:rPr>
        <w:t>A/FDM</w:t>
      </w:r>
      <w:r>
        <w:rPr>
          <w:rFonts w:ascii="Times New Roman" w:hAnsi="Times New Roman"/>
          <w:iCs/>
          <w:sz w:val="20"/>
          <w:szCs w:val="20"/>
        </w:rPr>
        <w:t>-</w:t>
      </w:r>
      <w:r>
        <w:rPr>
          <w:rFonts w:hint="eastAsia" w:ascii="Times New Roman" w:hAnsi="Times New Roman"/>
          <w:iCs/>
          <w:sz w:val="20"/>
          <w:szCs w:val="20"/>
        </w:rPr>
        <w:t xml:space="preserve">B method. To </w:t>
      </w:r>
      <w:r>
        <w:rPr>
          <w:rFonts w:ascii="Times New Roman" w:hAnsi="Times New Roman"/>
          <w:iCs/>
          <w:sz w:val="20"/>
          <w:szCs w:val="20"/>
        </w:rPr>
        <w:t xml:space="preserve">simplify </w:t>
      </w:r>
      <w:r>
        <w:rPr>
          <w:rFonts w:hint="eastAsia" w:ascii="Times New Roman" w:hAnsi="Times New Roman"/>
          <w:iCs/>
          <w:sz w:val="20"/>
          <w:szCs w:val="20"/>
        </w:rPr>
        <w:t>spec</w:t>
      </w:r>
      <w:r>
        <w:rPr>
          <w:rFonts w:ascii="Times New Roman" w:hAnsi="Times New Roman"/>
          <w:iCs/>
          <w:sz w:val="20"/>
          <w:szCs w:val="20"/>
        </w:rPr>
        <w:t>ification</w:t>
      </w:r>
      <w:r>
        <w:rPr>
          <w:rFonts w:hint="eastAsia" w:ascii="Times New Roman" w:hAnsi="Times New Roman"/>
          <w:iCs/>
          <w:sz w:val="20"/>
          <w:szCs w:val="20"/>
        </w:rPr>
        <w:t xml:space="preserve"> </w:t>
      </w:r>
      <w:r>
        <w:rPr>
          <w:rFonts w:ascii="Times New Roman" w:hAnsi="Times New Roman"/>
          <w:iCs/>
          <w:sz w:val="20"/>
          <w:szCs w:val="20"/>
        </w:rPr>
        <w:t>change</w:t>
      </w:r>
      <w:r>
        <w:rPr>
          <w:rFonts w:hint="eastAsia" w:ascii="Times New Roman" w:hAnsi="Times New Roman"/>
          <w:iCs/>
          <w:sz w:val="20"/>
          <w:szCs w:val="20"/>
        </w:rPr>
        <w:t xml:space="preserve"> and implementation </w:t>
      </w:r>
      <w:r>
        <w:rPr>
          <w:rFonts w:ascii="Times New Roman" w:hAnsi="Times New Roman"/>
          <w:iCs/>
          <w:sz w:val="20"/>
          <w:szCs w:val="20"/>
        </w:rPr>
        <w:t>effort</w:t>
      </w:r>
      <w:r>
        <w:rPr>
          <w:rFonts w:hint="eastAsia" w:ascii="Times New Roman" w:hAnsi="Times New Roman"/>
          <w:iCs/>
          <w:sz w:val="20"/>
          <w:szCs w:val="20"/>
        </w:rPr>
        <w:t>, we propose only to support dynamic switching among single-TRP, Rel-17 SFN and Rel-16 SDM MTRP scheme.</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When frequency offset pre-compensation based solution described in section 2.1.2 is configured by RRC signaling, and if two TCI states and one DMRS CDM group are indicated to a UE, the UE will know the actual transmission scheme is frequency offset pre-compensation based solution. Then, UE needs to ignore leveraging Doppler shift and Doppler spread from </w:t>
      </w:r>
      <w:r>
        <w:rPr>
          <w:rFonts w:ascii="Times New Roman" w:hAnsi="Times New Roman"/>
          <w:iCs/>
          <w:sz w:val="20"/>
          <w:szCs w:val="20"/>
        </w:rPr>
        <w:t xml:space="preserve">QCL-Type A in </w:t>
      </w:r>
      <w:r>
        <w:rPr>
          <w:rFonts w:hint="eastAsia" w:ascii="Times New Roman" w:hAnsi="Times New Roman"/>
          <w:iCs/>
          <w:sz w:val="20"/>
          <w:szCs w:val="20"/>
        </w:rPr>
        <w:t xml:space="preserve">one of the two TCI states. </w:t>
      </w:r>
    </w:p>
    <w:p>
      <w:pPr>
        <w:snapToGrid w:val="0"/>
        <w:spacing w:after="0" w:line="240" w:lineRule="auto"/>
        <w:jc w:val="both"/>
        <w:rPr>
          <w:rFonts w:ascii="Times New Roman" w:hAnsi="Times New Roman"/>
          <w:b/>
          <w:bCs/>
          <w:i/>
          <w:iCs/>
          <w:sz w:val="20"/>
          <w:szCs w:val="20"/>
        </w:rPr>
      </w:pPr>
      <w:bookmarkStart w:id="14" w:name="OLE_LINK7"/>
      <w:bookmarkStart w:id="15" w:name="OLE_LINK3"/>
      <w:bookmarkStart w:id="16" w:name="OLE_LINK15"/>
      <w:r>
        <w:rPr>
          <w:rFonts w:hint="eastAsia" w:ascii="Times New Roman" w:hAnsi="Times New Roman"/>
          <w:b/>
          <w:bCs/>
          <w:i/>
          <w:iCs/>
          <w:sz w:val="20"/>
          <w:szCs w:val="20"/>
        </w:rPr>
        <w:t>Proposal 3:</w:t>
      </w:r>
      <w:bookmarkEnd w:id="14"/>
      <w:r>
        <w:rPr>
          <w:rFonts w:ascii="Times New Roman" w:hAnsi="Times New Roman"/>
          <w:bCs/>
          <w:i/>
          <w:iCs/>
          <w:sz w:val="20"/>
          <w:szCs w:val="20"/>
        </w:rPr>
        <w:t xml:space="preserve"> </w:t>
      </w:r>
      <w:r>
        <w:rPr>
          <w:rFonts w:hint="eastAsia" w:ascii="Times New Roman" w:hAnsi="Times New Roman"/>
          <w:bCs/>
          <w:i/>
          <w:iCs/>
          <w:sz w:val="20"/>
          <w:szCs w:val="20"/>
        </w:rPr>
        <w:t xml:space="preserve">One RRC signaling </w:t>
      </w:r>
      <w:r>
        <w:rPr>
          <w:rFonts w:ascii="Times New Roman" w:hAnsi="Times New Roman"/>
          <w:bCs/>
          <w:i/>
          <w:iCs/>
          <w:sz w:val="20"/>
          <w:szCs w:val="20"/>
        </w:rPr>
        <w:t>is</w:t>
      </w:r>
      <w:r>
        <w:rPr>
          <w:rFonts w:hint="eastAsia" w:ascii="Times New Roman" w:hAnsi="Times New Roman"/>
          <w:bCs/>
          <w:i/>
          <w:iCs/>
          <w:sz w:val="20"/>
          <w:szCs w:val="20"/>
        </w:rPr>
        <w:t xml:space="preserve"> introduced to inform UE whether separate frequency offset at UE side</w:t>
      </w:r>
      <w:r>
        <w:rPr>
          <w:rFonts w:ascii="Times New Roman" w:hAnsi="Times New Roman"/>
          <w:bCs/>
          <w:i/>
          <w:iCs/>
          <w:sz w:val="20"/>
          <w:szCs w:val="20"/>
        </w:rPr>
        <w:t xml:space="preserve"> </w:t>
      </w:r>
      <w:r>
        <w:rPr>
          <w:rFonts w:hint="eastAsia" w:ascii="Times New Roman" w:hAnsi="Times New Roman"/>
          <w:bCs/>
          <w:i/>
          <w:iCs/>
          <w:sz w:val="20"/>
          <w:szCs w:val="20"/>
        </w:rPr>
        <w:t xml:space="preserve">or frequency offset pre-compensation at gNB side is configured. </w:t>
      </w:r>
    </w:p>
    <w:p>
      <w:pPr>
        <w:pStyle w:val="96"/>
        <w:numPr>
          <w:ilvl w:val="1"/>
          <w:numId w:val="7"/>
        </w:numPr>
        <w:snapToGrid w:val="0"/>
        <w:spacing w:after="0" w:line="240" w:lineRule="auto"/>
        <w:ind w:left="1240"/>
        <w:contextualSpacing/>
        <w:jc w:val="both"/>
        <w:rPr>
          <w:rFonts w:ascii="Times New Roman" w:hAnsi="Times New Roman"/>
          <w:b/>
          <w:bCs/>
          <w:i/>
          <w:iCs/>
          <w:sz w:val="20"/>
          <w:szCs w:val="20"/>
        </w:rPr>
      </w:pPr>
      <w:r>
        <w:rPr>
          <w:rFonts w:hint="eastAsia" w:ascii="Times New Roman" w:hAnsi="Times New Roman"/>
          <w:i/>
          <w:sz w:val="20"/>
          <w:szCs w:val="20"/>
        </w:rPr>
        <w:t>Support dynamic switching among single-TRP, Rel-17 SFN and Rel-16 SDM MTRP scheme</w:t>
      </w:r>
      <w:bookmarkEnd w:id="15"/>
      <w:r>
        <w:rPr>
          <w:rFonts w:hint="eastAsia" w:ascii="Times New Roman" w:hAnsi="Times New Roman"/>
          <w:iCs/>
          <w:sz w:val="20"/>
          <w:szCs w:val="20"/>
        </w:rPr>
        <w:t xml:space="preserve">. </w:t>
      </w:r>
    </w:p>
    <w:p>
      <w:pPr>
        <w:pStyle w:val="96"/>
        <w:snapToGrid w:val="0"/>
        <w:spacing w:before="180" w:beforeLines="50" w:after="180" w:afterLines="50" w:line="240" w:lineRule="auto"/>
        <w:ind w:left="0" w:leftChars="0"/>
        <w:contextualSpacing/>
        <w:jc w:val="both"/>
        <w:rPr>
          <w:rFonts w:ascii="Times New Roman" w:hAnsi="Times New Roman"/>
          <w:i/>
          <w:sz w:val="20"/>
          <w:szCs w:val="20"/>
        </w:rPr>
      </w:pPr>
      <w:bookmarkStart w:id="17" w:name="OLE_LINK19"/>
    </w:p>
    <w:bookmarkEnd w:id="17"/>
    <w:p>
      <w:pPr>
        <w:pStyle w:val="3"/>
        <w:numPr>
          <w:ilvl w:val="1"/>
          <w:numId w:val="4"/>
        </w:numPr>
        <w:snapToGrid w:val="0"/>
        <w:spacing w:before="180" w:beforeLines="50" w:after="180" w:afterLines="50"/>
        <w:rPr>
          <w:rFonts w:ascii="Arial" w:hAnsi="Arial" w:cs="Arial"/>
          <w:sz w:val="24"/>
          <w:szCs w:val="24"/>
          <w:lang w:val="en-US"/>
        </w:rPr>
      </w:pPr>
      <w:r>
        <w:rPr>
          <w:rFonts w:ascii="Arial" w:hAnsi="Arial" w:cs="Arial"/>
          <w:sz w:val="24"/>
          <w:szCs w:val="24"/>
          <w:lang w:val="en-US"/>
        </w:rPr>
        <w:t>Coexistence between SFN</w:t>
      </w:r>
      <w:r>
        <w:rPr>
          <w:rFonts w:hint="eastAsia" w:ascii="Arial" w:hAnsi="Arial" w:cs="Arial"/>
          <w:sz w:val="24"/>
          <w:szCs w:val="24"/>
          <w:lang w:val="en-US"/>
        </w:rPr>
        <w:t xml:space="preserve"> PDCCH</w:t>
      </w:r>
      <w:r>
        <w:rPr>
          <w:rFonts w:ascii="Arial" w:hAnsi="Arial" w:cs="Arial"/>
          <w:sz w:val="24"/>
          <w:szCs w:val="24"/>
          <w:lang w:val="en-US"/>
        </w:rPr>
        <w:t xml:space="preserve"> and SFN PDSCH</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w:t>
            </w:r>
          </w:p>
          <w:p>
            <w:pPr>
              <w:snapToGrid w:val="0"/>
              <w:spacing w:after="0" w:line="240" w:lineRule="auto"/>
              <w:jc w:val="both"/>
              <w:rPr>
                <w:rFonts w:ascii="Times New Roman" w:hAnsi="Times New Roman"/>
                <w:i/>
                <w:sz w:val="20"/>
                <w:szCs w:val="20"/>
                <w:lang w:val="en-GB"/>
              </w:rPr>
            </w:pPr>
            <w:r>
              <w:rPr>
                <w:rFonts w:ascii="Times New Roman" w:hAnsi="Times New Roman"/>
                <w:i/>
                <w:sz w:val="20"/>
                <w:szCs w:val="20"/>
              </w:rPr>
              <w:t>For PDCCH reliability enhancements, support SFN scheme + Alt 1-1.</w:t>
            </w:r>
          </w:p>
          <w:p>
            <w:pPr>
              <w:pStyle w:val="96"/>
              <w:numPr>
                <w:ilvl w:val="0"/>
                <w:numId w:val="8"/>
              </w:numPr>
              <w:snapToGrid w:val="0"/>
              <w:spacing w:after="0" w:line="240" w:lineRule="auto"/>
              <w:ind w:leftChars="0"/>
              <w:jc w:val="both"/>
            </w:pPr>
            <w:r>
              <w:rPr>
                <w:rFonts w:ascii="Times New Roman" w:hAnsi="Times New Roman"/>
                <w:i/>
                <w:sz w:val="20"/>
                <w:szCs w:val="20"/>
              </w:rPr>
              <w:t>FFS: TCI state activation for CORESET, impact on default beam, BFD resource for BFR</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Currently, in the case when the slot offset between PDCCH and PDSCH is smaller than the threshold, the default beam of PDSCH may be the same as </w:t>
      </w:r>
      <w:r>
        <w:rPr>
          <w:rFonts w:ascii="Times New Roman" w:hAnsi="Times New Roman"/>
          <w:sz w:val="20"/>
          <w:szCs w:val="20"/>
        </w:rPr>
        <w:t xml:space="preserve">CORESET </w:t>
      </w:r>
      <w:r>
        <w:rPr>
          <w:rFonts w:hint="eastAsia" w:ascii="Times New Roman" w:hAnsi="Times New Roman"/>
          <w:sz w:val="20"/>
          <w:szCs w:val="20"/>
        </w:rPr>
        <w:t xml:space="preserve">with lowest index in the latest slot.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above agreement which supports SFN mannered PDCCH with two TCI states, if only one beam for PDSCH is indicated, e.g. single-TRP transmission, but the </w:t>
      </w:r>
      <w:r>
        <w:rPr>
          <w:rFonts w:ascii="Times New Roman" w:hAnsi="Times New Roman"/>
          <w:sz w:val="20"/>
          <w:szCs w:val="20"/>
        </w:rPr>
        <w:t xml:space="preserve">CORESET </w:t>
      </w:r>
      <w:r>
        <w:rPr>
          <w:rFonts w:hint="eastAsia" w:ascii="Times New Roman" w:hAnsi="Times New Roman"/>
          <w:sz w:val="20"/>
          <w:szCs w:val="20"/>
        </w:rPr>
        <w:t xml:space="preserve">with lowest index has two beams, so only one beam of the PDCCH can be used as the default beam of PDSCH. Thus, which beam of PDCCH with SFN scheme </w:t>
      </w:r>
      <w:r>
        <w:rPr>
          <w:rFonts w:ascii="Times New Roman" w:hAnsi="Times New Roman"/>
          <w:sz w:val="20"/>
          <w:szCs w:val="20"/>
        </w:rPr>
        <w:t>is</w:t>
      </w:r>
      <w:r>
        <w:rPr>
          <w:rFonts w:hint="eastAsia" w:ascii="Times New Roman" w:hAnsi="Times New Roman"/>
          <w:sz w:val="20"/>
          <w:szCs w:val="20"/>
        </w:rPr>
        <w:t xml:space="preserve"> used as the default beam of PDSCH should be further studied.</w:t>
      </w:r>
    </w:p>
    <w:p>
      <w:pPr>
        <w:snapToGrid w:val="0"/>
        <w:spacing w:before="200" w:line="240" w:lineRule="auto"/>
        <w:jc w:val="both"/>
        <w:rPr>
          <w:rFonts w:ascii="Times New Roman" w:hAnsi="Times New Roman"/>
          <w:i/>
          <w:iCs/>
          <w:sz w:val="20"/>
          <w:szCs w:val="20"/>
        </w:rPr>
      </w:pPr>
      <w:bookmarkStart w:id="18" w:name="OLE_LINK5"/>
      <w:bookmarkStart w:id="19" w:name="OLE_LINK18"/>
      <w:r>
        <w:rPr>
          <w:rFonts w:hint="eastAsia" w:ascii="Times New Roman" w:hAnsi="Times New Roman"/>
          <w:b/>
          <w:bCs/>
          <w:i/>
          <w:iCs/>
          <w:sz w:val="20"/>
          <w:szCs w:val="20"/>
        </w:rPr>
        <w:t>Proposal 4:</w:t>
      </w:r>
      <w:bookmarkEnd w:id="18"/>
      <w:r>
        <w:rPr>
          <w:rFonts w:hint="eastAsia" w:ascii="Times New Roman" w:hAnsi="Times New Roman"/>
          <w:b/>
          <w:bCs/>
          <w:i/>
          <w:iCs/>
          <w:sz w:val="20"/>
          <w:szCs w:val="20"/>
        </w:rPr>
        <w:t xml:space="preserve"> </w:t>
      </w:r>
      <w:r>
        <w:rPr>
          <w:rFonts w:hint="eastAsia" w:ascii="Times New Roman" w:hAnsi="Times New Roman"/>
          <w:i/>
          <w:iCs/>
          <w:sz w:val="20"/>
          <w:szCs w:val="20"/>
        </w:rPr>
        <w:t xml:space="preserve">For PDSCH indicated with only one TCI state, one of the two TCI states of PDCCH with SFN scheme should be used as the default TCI state of PDSCH, </w:t>
      </w:r>
      <w:r>
        <w:rPr>
          <w:rFonts w:ascii="Times New Roman" w:hAnsi="Times New Roman"/>
          <w:i/>
          <w:iCs/>
          <w:sz w:val="20"/>
          <w:szCs w:val="20"/>
        </w:rPr>
        <w:t xml:space="preserve">and </w:t>
      </w:r>
      <w:r>
        <w:rPr>
          <w:rFonts w:hint="eastAsia" w:ascii="Times New Roman" w:hAnsi="Times New Roman"/>
          <w:i/>
          <w:iCs/>
          <w:sz w:val="20"/>
          <w:szCs w:val="20"/>
        </w:rPr>
        <w:t>the details should be further studied.</w:t>
      </w:r>
    </w:p>
    <w:bookmarkEnd w:id="16"/>
    <w:bookmarkEnd w:id="19"/>
    <w:p>
      <w:pPr>
        <w:pStyle w:val="2"/>
        <w:snapToGrid w:val="0"/>
        <w:spacing w:before="180" w:beforeLines="50" w:after="180" w:afterLines="50"/>
        <w:ind w:left="431" w:hanging="431"/>
        <w:rPr>
          <w:lang w:val="en-US"/>
        </w:rPr>
      </w:pPr>
      <w:r>
        <w:rPr>
          <w:lang w:val="en-US"/>
        </w:rPr>
        <w:t>Conclusions</w:t>
      </w:r>
    </w:p>
    <w:p>
      <w:pPr>
        <w:snapToGrid w:val="0"/>
        <w:spacing w:after="0" w:line="240" w:lineRule="auto"/>
        <w:jc w:val="both"/>
        <w:rPr>
          <w:rFonts w:ascii="Times New Roman" w:hAnsi="Times New Roman"/>
          <w:iCs/>
          <w:sz w:val="20"/>
          <w:szCs w:val="20"/>
        </w:rPr>
      </w:pPr>
      <w:bookmarkStart w:id="20" w:name="OLE_LINK10"/>
      <w:bookmarkStart w:id="21"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HST-SFN deployment scenario</w:t>
      </w:r>
      <w:r>
        <w:rPr>
          <w:rFonts w:hint="eastAsia"/>
          <w:i/>
          <w:iCs/>
        </w:rPr>
        <w:t xml:space="preserve">. </w:t>
      </w:r>
      <w:r>
        <w:rPr>
          <w:rFonts w:ascii="Times New Roman" w:hAnsi="Times New Roman"/>
          <w:iCs/>
          <w:sz w:val="20"/>
          <w:szCs w:val="20"/>
        </w:rPr>
        <w:t>The proposals are given below.</w:t>
      </w:r>
      <w:r>
        <w:rPr>
          <w:rFonts w:hint="eastAsia" w:ascii="Times New Roman" w:hAnsi="Times New Roman"/>
          <w:iCs/>
          <w:sz w:val="20"/>
          <w:szCs w:val="20"/>
        </w:rPr>
        <w:t xml:space="preserve"> </w:t>
      </w:r>
    </w:p>
    <w:p>
      <w:pPr>
        <w:snapToGrid w:val="0"/>
        <w:spacing w:after="0" w:line="240" w:lineRule="auto"/>
        <w:jc w:val="both"/>
        <w:rPr>
          <w:rFonts w:ascii="Times New Roman" w:hAnsi="Times New Roman"/>
          <w:iCs/>
          <w:sz w:val="20"/>
          <w:szCs w:val="20"/>
        </w:rPr>
      </w:pPr>
    </w:p>
    <w:p>
      <w:pPr>
        <w:pStyle w:val="96"/>
        <w:numPr>
          <w:ilvl w:val="255"/>
          <w:numId w:val="0"/>
        </w:numPr>
        <w:snapToGrid w:val="0"/>
        <w:spacing w:after="0" w:line="240" w:lineRule="auto"/>
        <w:contextualSpacing/>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bCs/>
          <w:i/>
          <w:iCs/>
          <w:sz w:val="20"/>
          <w:szCs w:val="20"/>
        </w:rPr>
        <w:t xml:space="preserve">For SFN based PDSCH transmission in HST, support all DMRS ports are within one CDM group and can be indicated with two </w:t>
      </w:r>
      <w:r>
        <w:rPr>
          <w:rFonts w:ascii="Times New Roman" w:hAnsi="Times New Roman"/>
          <w:i/>
          <w:iCs/>
          <w:sz w:val="20"/>
          <w:szCs w:val="20"/>
          <w:lang w:eastAsia="ko-KR"/>
        </w:rPr>
        <w:t>TCI states</w:t>
      </w:r>
      <w:r>
        <w:rPr>
          <w:rFonts w:hint="eastAsia" w:ascii="Times New Roman" w:hAnsi="Times New Roman"/>
          <w:i/>
          <w:iCs/>
          <w:sz w:val="20"/>
          <w:szCs w:val="20"/>
        </w:rPr>
        <w:t xml:space="preserve"> where each one </w:t>
      </w:r>
      <w:r>
        <w:rPr>
          <w:rFonts w:ascii="Times New Roman" w:hAnsi="Times New Roman"/>
          <w:i/>
          <w:iCs/>
          <w:sz w:val="20"/>
          <w:szCs w:val="20"/>
          <w:lang w:eastAsia="ko-KR"/>
        </w:rPr>
        <w:t>can be associated with {average delay, delay spread, Doppler shift, Doppler spread} (i.e., QCL-TypeA)</w:t>
      </w:r>
      <w:r>
        <w:rPr>
          <w:rFonts w:hint="eastAsia" w:ascii="Times New Roman" w:hAnsi="Times New Roman"/>
          <w:i/>
          <w:iCs/>
          <w:sz w:val="20"/>
          <w:szCs w:val="20"/>
        </w:rPr>
        <w:t>.</w:t>
      </w:r>
    </w:p>
    <w:p>
      <w:pPr>
        <w:pStyle w:val="96"/>
        <w:numPr>
          <w:ilvl w:val="255"/>
          <w:numId w:val="0"/>
        </w:numPr>
        <w:snapToGrid w:val="0"/>
        <w:spacing w:after="0" w:line="240" w:lineRule="auto"/>
        <w:contextualSpacing/>
        <w:jc w:val="both"/>
        <w:rPr>
          <w:rFonts w:ascii="Times New Roman" w:hAnsi="Times New Roman"/>
          <w:i/>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When frequency offset pre-compensation solution is indicated for PDSCH transmission, UE only uses {average delay, delay spread} from the second TCI state (or the first TCI state), that is UE ignores {Doppler shift, Doppler spread} from the second TCI state (or the first TCI state). </w:t>
      </w:r>
    </w:p>
    <w:p>
      <w:pPr>
        <w:snapToGrid w:val="0"/>
        <w:spacing w:after="0" w:line="240" w:lineRule="auto"/>
        <w:jc w:val="both"/>
        <w:rPr>
          <w:rFonts w:ascii="Times New Roman" w:hAnsi="Times New Roman"/>
          <w:i/>
          <w:iCs/>
          <w:sz w:val="20"/>
          <w:szCs w:val="20"/>
        </w:rPr>
      </w:pPr>
    </w:p>
    <w:p>
      <w:pPr>
        <w:snapToGrid w:val="0"/>
        <w:spacing w:after="0" w:line="240" w:lineRule="auto"/>
        <w:jc w:val="both"/>
        <w:rPr>
          <w:rFonts w:ascii="Times New Roman" w:hAnsi="Times New Roman"/>
          <w:b/>
          <w:bCs/>
          <w:i/>
          <w:iCs/>
          <w:sz w:val="20"/>
          <w:szCs w:val="20"/>
        </w:rPr>
      </w:pPr>
      <w:r>
        <w:rPr>
          <w:rFonts w:hint="eastAsia" w:ascii="Times New Roman" w:hAnsi="Times New Roman"/>
          <w:b/>
          <w:bCs/>
          <w:i/>
          <w:iCs/>
          <w:sz w:val="20"/>
          <w:szCs w:val="20"/>
        </w:rPr>
        <w:t>Proposal 3:</w:t>
      </w:r>
      <w:r>
        <w:rPr>
          <w:rFonts w:ascii="Times New Roman" w:hAnsi="Times New Roman"/>
          <w:bCs/>
          <w:i/>
          <w:iCs/>
          <w:sz w:val="20"/>
          <w:szCs w:val="20"/>
        </w:rPr>
        <w:t xml:space="preserve"> </w:t>
      </w:r>
      <w:r>
        <w:rPr>
          <w:rFonts w:hint="eastAsia" w:ascii="Times New Roman" w:hAnsi="Times New Roman"/>
          <w:bCs/>
          <w:i/>
          <w:iCs/>
          <w:sz w:val="20"/>
          <w:szCs w:val="20"/>
        </w:rPr>
        <w:t xml:space="preserve">One RRC signaling </w:t>
      </w:r>
      <w:r>
        <w:rPr>
          <w:rFonts w:ascii="Times New Roman" w:hAnsi="Times New Roman"/>
          <w:bCs/>
          <w:i/>
          <w:iCs/>
          <w:sz w:val="20"/>
          <w:szCs w:val="20"/>
        </w:rPr>
        <w:t>is</w:t>
      </w:r>
      <w:r>
        <w:rPr>
          <w:rFonts w:hint="eastAsia" w:ascii="Times New Roman" w:hAnsi="Times New Roman"/>
          <w:bCs/>
          <w:i/>
          <w:iCs/>
          <w:sz w:val="20"/>
          <w:szCs w:val="20"/>
        </w:rPr>
        <w:t xml:space="preserve"> introduced to inform UE whether separate frequency offset at UE side</w:t>
      </w:r>
      <w:r>
        <w:rPr>
          <w:rFonts w:ascii="Times New Roman" w:hAnsi="Times New Roman"/>
          <w:bCs/>
          <w:i/>
          <w:iCs/>
          <w:sz w:val="20"/>
          <w:szCs w:val="20"/>
        </w:rPr>
        <w:t xml:space="preserve"> </w:t>
      </w:r>
      <w:r>
        <w:rPr>
          <w:rFonts w:hint="eastAsia" w:ascii="Times New Roman" w:hAnsi="Times New Roman"/>
          <w:bCs/>
          <w:i/>
          <w:iCs/>
          <w:sz w:val="20"/>
          <w:szCs w:val="20"/>
        </w:rPr>
        <w:t xml:space="preserve">or frequency offset pre-compensation at gNB side is configured. </w:t>
      </w:r>
    </w:p>
    <w:p>
      <w:pPr>
        <w:pStyle w:val="96"/>
        <w:numPr>
          <w:ilvl w:val="1"/>
          <w:numId w:val="7"/>
        </w:numPr>
        <w:snapToGrid w:val="0"/>
        <w:spacing w:after="0" w:line="240" w:lineRule="auto"/>
        <w:ind w:left="1240"/>
        <w:contextualSpacing/>
        <w:jc w:val="both"/>
        <w:rPr>
          <w:rFonts w:ascii="Times New Roman" w:hAnsi="Times New Roman"/>
          <w:b/>
          <w:bCs/>
          <w:i/>
          <w:iCs/>
          <w:sz w:val="20"/>
          <w:szCs w:val="20"/>
        </w:rPr>
      </w:pPr>
      <w:r>
        <w:rPr>
          <w:rFonts w:hint="eastAsia" w:ascii="Times New Roman" w:hAnsi="Times New Roman"/>
          <w:i/>
          <w:sz w:val="20"/>
          <w:szCs w:val="20"/>
        </w:rPr>
        <w:t>Support dynamic switching among single-TRP, Rel-17 SFN and Rel-16 SDM MTRP scheme</w:t>
      </w:r>
      <w:r>
        <w:rPr>
          <w:rFonts w:hint="eastAsia" w:ascii="Times New Roman" w:hAnsi="Times New Roman"/>
          <w:iCs/>
          <w:sz w:val="20"/>
          <w:szCs w:val="20"/>
        </w:rPr>
        <w:t xml:space="preserve">. </w:t>
      </w:r>
    </w:p>
    <w:p>
      <w:pPr>
        <w:pStyle w:val="96"/>
        <w:snapToGrid w:val="0"/>
        <w:spacing w:after="0" w:line="240" w:lineRule="auto"/>
        <w:ind w:left="880"/>
        <w:contextualSpacing/>
        <w:jc w:val="both"/>
        <w:rPr>
          <w:rFonts w:ascii="Times New Roman" w:hAnsi="Times New Roman"/>
          <w:b/>
          <w:bCs/>
          <w:i/>
          <w:iCs/>
          <w:sz w:val="20"/>
          <w:szCs w:val="20"/>
        </w:rPr>
      </w:pPr>
    </w:p>
    <w:p>
      <w:pPr>
        <w:snapToGrid w:val="0"/>
        <w:spacing w:after="0" w:line="240" w:lineRule="auto"/>
        <w:jc w:val="both"/>
        <w:rPr>
          <w:rFonts w:ascii="Times New Roman" w:hAnsi="Times New Roman"/>
          <w:i/>
          <w:sz w:val="20"/>
          <w:szCs w:val="20"/>
        </w:rPr>
      </w:pPr>
      <w:r>
        <w:rPr>
          <w:rFonts w:hint="eastAsia" w:ascii="Times New Roman" w:hAnsi="Times New Roman"/>
          <w:b/>
          <w:bCs/>
          <w:i/>
          <w:iCs/>
          <w:sz w:val="20"/>
          <w:szCs w:val="20"/>
        </w:rPr>
        <w:t xml:space="preserve">Proposal 4: </w:t>
      </w:r>
      <w:r>
        <w:rPr>
          <w:rFonts w:hint="eastAsia" w:ascii="Times New Roman" w:hAnsi="Times New Roman"/>
          <w:i/>
          <w:iCs/>
          <w:sz w:val="20"/>
          <w:szCs w:val="20"/>
        </w:rPr>
        <w:t xml:space="preserve">For PDSCH indicated with only one TCI state, one of the two TCI states of PDCCH with SFN scheme should be used as the default TCI state of PDSCH, </w:t>
      </w:r>
      <w:r>
        <w:rPr>
          <w:rFonts w:ascii="Times New Roman" w:hAnsi="Times New Roman"/>
          <w:i/>
          <w:iCs/>
          <w:sz w:val="20"/>
          <w:szCs w:val="20"/>
        </w:rPr>
        <w:t xml:space="preserve">and </w:t>
      </w:r>
      <w:r>
        <w:rPr>
          <w:rFonts w:hint="eastAsia" w:ascii="Times New Roman" w:hAnsi="Times New Roman"/>
          <w:i/>
          <w:iCs/>
          <w:sz w:val="20"/>
          <w:szCs w:val="20"/>
        </w:rPr>
        <w:t>the details should be further studied.</w:t>
      </w:r>
    </w:p>
    <w:p>
      <w:pPr>
        <w:pStyle w:val="2"/>
        <w:snapToGrid w:val="0"/>
        <w:spacing w:before="180" w:beforeLines="50" w:after="180" w:afterLines="50"/>
        <w:ind w:left="431" w:hanging="431"/>
        <w:rPr>
          <w:lang w:val="en-US"/>
        </w:rPr>
      </w:pPr>
      <w:r>
        <w:rPr>
          <w:rFonts w:hint="eastAsia"/>
          <w:lang w:val="en-US"/>
        </w:rPr>
        <w:t>References</w:t>
      </w:r>
    </w:p>
    <w:bookmarkEnd w:id="20"/>
    <w:bookmarkEnd w:id="21"/>
    <w:p>
      <w:pPr>
        <w:pStyle w:val="88"/>
        <w:numPr>
          <w:ilvl w:val="0"/>
          <w:numId w:val="9"/>
        </w:numPr>
        <w:snapToGrid w:val="0"/>
        <w:rPr>
          <w:sz w:val="20"/>
          <w:szCs w:val="20"/>
          <w:lang w:val="en-GB"/>
        </w:rPr>
      </w:pPr>
      <w:r>
        <w:rPr>
          <w:rFonts w:hint="eastAsia"/>
          <w:sz w:val="20"/>
          <w:szCs w:val="20"/>
        </w:rPr>
        <w:t>RP-193133, WID proposal FeMIMO, Samsung</w:t>
      </w:r>
    </w:p>
    <w:p>
      <w:pPr>
        <w:pStyle w:val="88"/>
        <w:numPr>
          <w:ilvl w:val="0"/>
          <w:numId w:val="9"/>
        </w:numPr>
        <w:snapToGrid w:val="0"/>
        <w:rPr>
          <w:sz w:val="20"/>
          <w:szCs w:val="20"/>
          <w:lang w:val="en-GB"/>
        </w:rPr>
      </w:pPr>
      <w:r>
        <w:rPr>
          <w:rFonts w:hint="eastAsia"/>
          <w:sz w:val="20"/>
          <w:szCs w:val="20"/>
        </w:rPr>
        <w:t>Chairman's Notes RAN1#102-e Final</w:t>
      </w:r>
    </w:p>
    <w:p>
      <w:pPr>
        <w:pStyle w:val="88"/>
        <w:numPr>
          <w:ilvl w:val="0"/>
          <w:numId w:val="9"/>
        </w:numPr>
        <w:snapToGrid w:val="0"/>
        <w:rPr>
          <w:sz w:val="20"/>
          <w:szCs w:val="20"/>
          <w:lang w:val="en-GB"/>
        </w:rPr>
      </w:pPr>
      <w:r>
        <w:rPr>
          <w:rFonts w:hint="eastAsia"/>
          <w:sz w:val="20"/>
          <w:szCs w:val="20"/>
        </w:rPr>
        <w:t>Chairman's Notes RAN1#103-e Final</w:t>
      </w:r>
    </w:p>
    <w:p>
      <w:pPr>
        <w:pStyle w:val="88"/>
        <w:numPr>
          <w:ilvl w:val="0"/>
          <w:numId w:val="9"/>
        </w:numPr>
        <w:snapToGrid w:val="0"/>
        <w:rPr>
          <w:sz w:val="20"/>
          <w:szCs w:val="20"/>
          <w:lang w:val="en-GB"/>
        </w:rPr>
      </w:pPr>
      <w:r>
        <w:rPr>
          <w:rFonts w:hint="eastAsia"/>
          <w:sz w:val="20"/>
          <w:szCs w:val="20"/>
          <w:lang w:val="en-GB"/>
        </w:rPr>
        <w:t>R1-200</w:t>
      </w:r>
      <w:r>
        <w:rPr>
          <w:rFonts w:hint="eastAsia"/>
          <w:sz w:val="20"/>
          <w:szCs w:val="20"/>
        </w:rPr>
        <w:t>7767</w:t>
      </w:r>
      <w:r>
        <w:rPr>
          <w:sz w:val="20"/>
          <w:szCs w:val="20"/>
          <w:lang w:val="en-GB"/>
        </w:rPr>
        <w:t>,</w:t>
      </w:r>
      <w:r>
        <w:rPr>
          <w:rFonts w:hint="eastAsia"/>
          <w:sz w:val="20"/>
          <w:szCs w:val="20"/>
          <w:lang w:val="en-GB"/>
        </w:rPr>
        <w:t xml:space="preserve"> Discussion on Multi-TRP HST enhancement</w:t>
      </w:r>
      <w:r>
        <w:rPr>
          <w:sz w:val="20"/>
          <w:szCs w:val="20"/>
          <w:lang w:val="en-GB"/>
        </w:rPr>
        <w:t>,</w:t>
      </w:r>
      <w:r>
        <w:rPr>
          <w:rFonts w:hint="eastAsia"/>
          <w:sz w:val="20"/>
          <w:szCs w:val="20"/>
          <w:lang w:val="en-GB"/>
        </w:rPr>
        <w:t xml:space="preserve"> </w:t>
      </w:r>
      <w:r>
        <w:rPr>
          <w:rFonts w:hint="eastAsia"/>
          <w:sz w:val="20"/>
          <w:szCs w:val="20"/>
        </w:rPr>
        <w:t>ZTE</w:t>
      </w:r>
    </w:p>
    <w:p>
      <w:pPr>
        <w:pStyle w:val="88"/>
        <w:numPr>
          <w:ilvl w:val="0"/>
          <w:numId w:val="9"/>
        </w:numPr>
        <w:snapToGrid w:val="0"/>
        <w:rPr>
          <w:sz w:val="20"/>
          <w:szCs w:val="20"/>
          <w:lang w:val="en-GB"/>
        </w:rPr>
      </w:pPr>
      <w:bookmarkStart w:id="22" w:name="OLE_LINK17"/>
      <w:r>
        <w:rPr>
          <w:rFonts w:hint="eastAsia"/>
          <w:sz w:val="20"/>
          <w:szCs w:val="20"/>
          <w:lang w:val="en-GB"/>
        </w:rPr>
        <w:t>R1-2005458</w:t>
      </w:r>
      <w:r>
        <w:rPr>
          <w:sz w:val="20"/>
          <w:szCs w:val="20"/>
          <w:lang w:val="en-GB"/>
        </w:rPr>
        <w:t>,</w:t>
      </w:r>
      <w:r>
        <w:rPr>
          <w:rFonts w:hint="eastAsia"/>
          <w:sz w:val="20"/>
          <w:szCs w:val="20"/>
          <w:lang w:val="en-GB"/>
        </w:rPr>
        <w:t xml:space="preserve"> Discussion on Multi-TRP HST enhancement</w:t>
      </w:r>
      <w:r>
        <w:rPr>
          <w:sz w:val="20"/>
          <w:szCs w:val="20"/>
          <w:lang w:val="en-GB"/>
        </w:rPr>
        <w:t>,</w:t>
      </w:r>
      <w:r>
        <w:rPr>
          <w:rFonts w:hint="eastAsia"/>
          <w:sz w:val="20"/>
          <w:szCs w:val="20"/>
          <w:lang w:val="en-GB"/>
        </w:rPr>
        <w:t xml:space="preserve"> </w:t>
      </w:r>
      <w:r>
        <w:rPr>
          <w:rFonts w:hint="eastAsia"/>
          <w:sz w:val="20"/>
          <w:szCs w:val="20"/>
        </w:rPr>
        <w:t>ZTE</w:t>
      </w:r>
    </w:p>
    <w:bookmarkEnd w:id="22"/>
    <w:p>
      <w:pPr>
        <w:pStyle w:val="88"/>
        <w:snapToGrid w:val="0"/>
        <w:rPr>
          <w:sz w:val="20"/>
          <w:szCs w:val="20"/>
          <w:lang w:val="en-GB"/>
        </w:rPr>
      </w:pPr>
    </w:p>
    <w:p>
      <w:pPr>
        <w:pStyle w:val="2"/>
        <w:snapToGrid w:val="0"/>
        <w:rPr>
          <w:lang w:val="en-US"/>
        </w:rPr>
      </w:pPr>
      <w:r>
        <w:rPr>
          <w:rFonts w:hint="eastAsia"/>
          <w:lang w:val="en-US"/>
        </w:rPr>
        <w:t>Appendix</w:t>
      </w: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Table 5-1 LLS assumptions for</w:t>
      </w:r>
      <w:r>
        <w:rPr>
          <w:rFonts w:ascii="Times New Roman" w:hAnsi="Times New Roman" w:eastAsia="宋体"/>
          <w:sz w:val="20"/>
          <w:szCs w:val="20"/>
          <w:lang w:val="en-GB" w:eastAsia="ko-KR"/>
        </w:rPr>
        <w:t xml:space="preserve"> multi-TRP</w:t>
      </w:r>
      <w:r>
        <w:rPr>
          <w:rFonts w:hint="eastAsia" w:ascii="Times New Roman" w:hAnsi="Times New Roman" w:eastAsia="宋体"/>
          <w:sz w:val="20"/>
          <w:szCs w:val="20"/>
        </w:rPr>
        <w:t xml:space="preserve"> performance evaluation</w:t>
      </w:r>
    </w:p>
    <w:tbl>
      <w:tblPr>
        <w:tblStyle w:val="28"/>
        <w:tblW w:w="9415"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5"/>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465" w:type="dxa"/>
            <w:shd w:val="clear" w:color="auto" w:fill="DDD9C4" w:themeFill="background2" w:themeFillShade="E6"/>
          </w:tcPr>
          <w:p>
            <w:pPr>
              <w:snapToGrid w:val="0"/>
              <w:spacing w:after="0" w:line="240" w:lineRule="auto"/>
              <w:rPr>
                <w:rFonts w:ascii="Times New Roman" w:hAnsi="Times New Roman"/>
                <w:sz w:val="20"/>
                <w:szCs w:val="20"/>
              </w:rPr>
            </w:pPr>
            <w:r>
              <w:rPr>
                <w:rFonts w:ascii="Times New Roman" w:hAnsi="Times New Roman" w:eastAsia="宋体"/>
                <w:b/>
                <w:bCs/>
                <w:color w:val="000000" w:themeColor="text1"/>
                <w:kern w:val="24"/>
                <w:sz w:val="20"/>
                <w:szCs w:val="20"/>
                <w:lang w:val="en-GB"/>
                <w14:textFill>
                  <w14:solidFill>
                    <w14:schemeClr w14:val="tx1"/>
                  </w14:solidFill>
                </w14:textFill>
              </w:rPr>
              <w:t>Parameter</w:t>
            </w:r>
          </w:p>
        </w:tc>
        <w:tc>
          <w:tcPr>
            <w:tcW w:w="6950" w:type="dxa"/>
            <w:shd w:val="clear" w:color="auto" w:fill="DDD9C4" w:themeFill="background2" w:themeFillShade="E6"/>
          </w:tcPr>
          <w:p>
            <w:pPr>
              <w:snapToGrid w:val="0"/>
              <w:spacing w:after="0" w:line="240" w:lineRule="auto"/>
              <w:jc w:val="center"/>
              <w:rPr>
                <w:rFonts w:ascii="Times New Roman" w:hAnsi="Times New Roman"/>
                <w:b/>
                <w:bCs/>
                <w:sz w:val="20"/>
                <w:szCs w:val="20"/>
              </w:rPr>
            </w:pPr>
            <w:r>
              <w:rPr>
                <w:rFonts w:ascii="Times New Roman" w:hAnsi="Times New Roman"/>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Duplexing </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vAlign w:val="center"/>
          </w:tcPr>
          <w:p>
            <w:pPr>
              <w:snapToGrid w:val="0"/>
              <w:spacing w:after="0" w:line="240" w:lineRule="auto"/>
              <w:rPr>
                <w:rFonts w:ascii="Times New Roman" w:hAnsi="Times New Roman"/>
                <w:sz w:val="20"/>
                <w:szCs w:val="20"/>
                <w:lang w:val="fr-FR"/>
              </w:rPr>
            </w:pPr>
            <w:r>
              <w:rPr>
                <w:rFonts w:ascii="Times New Roman" w:hAnsi="Times New Roman"/>
                <w:sz w:val="20"/>
                <w:szCs w:val="20"/>
                <w:lang w:val="fr-FR"/>
              </w:rPr>
              <w:t>TRP layout (Ds, Dmin, etc)</w:t>
            </w:r>
          </w:p>
        </w:tc>
        <w:tc>
          <w:tcPr>
            <w:tcW w:w="6950" w:type="dxa"/>
          </w:tcPr>
          <w:p>
            <w:pPr>
              <w:snapToGrid w:val="0"/>
              <w:spacing w:after="0" w:line="240" w:lineRule="auto"/>
              <w:jc w:val="center"/>
              <w:rPr>
                <w:rFonts w:ascii="Times New Roman" w:hAnsi="Times New Roman"/>
                <w:sz w:val="20"/>
                <w:szCs w:val="20"/>
                <w:lang w:val="fr-FR"/>
              </w:rPr>
            </w:pPr>
            <w:r>
              <w:rPr>
                <w:rFonts w:ascii="Times New Roman" w:hAnsi="Times New Roman"/>
                <w:sz w:val="20"/>
                <w:szCs w:val="20"/>
                <w:lang w:val="en-GB"/>
              </w:rPr>
              <w:t>Ds=700m, Dmin=150m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gNB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2 ports: [Mg, Ng, M, N, P]=[1, 1, 1, 1, 2],</w:t>
            </w:r>
          </w:p>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directional antenna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UE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2 ports: [Mg, Ng, M, N, P]=[ 1, 1, 1, 1, 2] </w:t>
            </w:r>
          </w:p>
          <w:p>
            <w:pPr>
              <w:snapToGrid w:val="0"/>
              <w:spacing w:after="0" w:line="240" w:lineRule="auto"/>
              <w:jc w:val="center"/>
              <w:rPr>
                <w:rFonts w:ascii="Times New Roman" w:hAnsi="Times New Roman"/>
                <w:sz w:val="20"/>
                <w:szCs w:val="20"/>
              </w:rPr>
            </w:pPr>
            <w:r>
              <w:rPr>
                <w:rFonts w:ascii="Times New Roman" w:hAnsi="Times New Roman"/>
                <w:sz w:val="20"/>
                <w:szCs w:val="20"/>
              </w:rPr>
              <w:t>omni-directional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246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DMRS type</w:t>
            </w:r>
          </w:p>
        </w:tc>
        <w:tc>
          <w:tcPr>
            <w:tcW w:w="6950" w:type="dxa"/>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DM-RS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Number of DMRS symbols</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eastAsia="宋体"/>
                <w:sz w:val="20"/>
                <w:szCs w:val="20"/>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MCS</w:t>
            </w:r>
          </w:p>
        </w:tc>
        <w:tc>
          <w:tcPr>
            <w:tcW w:w="6950" w:type="dxa"/>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 MCS adaptation</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64</w:t>
            </w:r>
            <w:r>
              <w:rPr>
                <w:rFonts w:ascii="Times New Roman" w:hAnsi="Times New Roman"/>
                <w:sz w:val="20"/>
                <w:szCs w:val="20"/>
              </w:rPr>
              <w:t>QAM 0.5CR</w:t>
            </w:r>
          </w:p>
          <w:p>
            <w:pPr>
              <w:snapToGrid w:val="0"/>
              <w:spacing w:after="0" w:line="240" w:lineRule="auto"/>
              <w:jc w:val="center"/>
              <w:rPr>
                <w:rFonts w:ascii="Times New Roman" w:hAnsi="Times New Roman"/>
                <w:sz w:val="20"/>
                <w:szCs w:val="20"/>
              </w:rPr>
            </w:pPr>
            <w:r>
              <w:rPr>
                <w:rFonts w:ascii="Times New Roman" w:hAnsi="Times New Roman"/>
                <w:sz w:val="20"/>
                <w:szCs w:val="20"/>
              </w:rPr>
              <w:t>16QAM 0.5CR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Number of scheduled RBs</w:t>
            </w:r>
          </w:p>
        </w:tc>
        <w:tc>
          <w:tcPr>
            <w:tcW w:w="6950" w:type="dxa"/>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Propagation condition</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CDL D DS =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TRS configuration, TRS periodicity</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10ms, 2-slot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PDSCH / PUSCH mapping</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Type A, Start symbol 2, Duration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eastAsia="MS Mincho"/>
                <w:color w:val="000000" w:themeColor="text1"/>
                <w:kern w:val="24"/>
                <w:sz w:val="20"/>
                <w:szCs w:val="20"/>
                <w14:textFill>
                  <w14:solidFill>
                    <w14:schemeClr w14:val="tx1"/>
                  </w14:solidFill>
                </w14:textFill>
              </w:rPr>
            </w:pPr>
            <w:r>
              <w:rPr>
                <w:rFonts w:ascii="Times New Roman" w:hAnsi="Times New Roman" w:eastAsia="MS Mincho"/>
                <w:color w:val="000000" w:themeColor="text1"/>
                <w:kern w:val="24"/>
                <w:sz w:val="20"/>
                <w:szCs w:val="20"/>
                <w14:textFill>
                  <w14:solidFill>
                    <w14:schemeClr w14:val="tx1"/>
                  </w14:solidFill>
                </w14:textFill>
              </w:rPr>
              <w:t>Rank</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Rank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BW</w:t>
            </w:r>
          </w:p>
        </w:tc>
        <w:tc>
          <w:tcPr>
            <w:tcW w:w="6950" w:type="dxa"/>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Carrier frequency or maximum Doppler shift</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3.5GHz, </w:t>
            </w:r>
            <w:r>
              <w:rPr>
                <w:rFonts w:ascii="Times New Roman" w:hAnsi="Times New Roman" w:eastAsia="宋体"/>
                <w:sz w:val="20"/>
                <w:szCs w:val="20"/>
              </w:rPr>
              <w:t>350kmph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Performance metric</w:t>
            </w:r>
          </w:p>
        </w:tc>
        <w:tc>
          <w:tcPr>
            <w:tcW w:w="6950" w:type="dxa"/>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sz w:val="20"/>
                <w:szCs w:val="20"/>
              </w:rPr>
              <w:t xml:space="preserve">Other assumptions or simulation parameters, e.g., correlation </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SCS: 30kHz</w:t>
            </w:r>
          </w:p>
          <w:p>
            <w:pPr>
              <w:snapToGrid w:val="0"/>
              <w:spacing w:after="0" w:line="240" w:lineRule="auto"/>
              <w:rPr>
                <w:rFonts w:ascii="Times New Roman" w:hAnsi="Times New Roman"/>
                <w:sz w:val="20"/>
                <w:szCs w:val="20"/>
              </w:rPr>
            </w:pPr>
          </w:p>
        </w:tc>
      </w:tr>
    </w:tbl>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ascii="Times New Roman" w:hAnsi="Times New Roman" w:eastAsia="宋体" w:cs="宋体"/>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Arial" w:hAnsi="Arial" w:eastAsia="宋体" w:cs="宋体"/>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8408BE9"/>
    <w:multiLevelType w:val="multilevel"/>
    <w:tmpl w:val="28408B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5">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43207260"/>
    <w:multiLevelType w:val="multilevel"/>
    <w:tmpl w:val="432072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2C844D7"/>
    <w:multiLevelType w:val="multilevel"/>
    <w:tmpl w:val="72C844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48844A3"/>
    <w:multiLevelType w:val="multilevel"/>
    <w:tmpl w:val="7488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4"/>
  </w:num>
  <w:num w:numId="4">
    <w:abstractNumId w:val="2"/>
  </w:num>
  <w:num w:numId="5">
    <w:abstractNumId w:val="6"/>
  </w:num>
  <w:num w:numId="6">
    <w:abstractNumId w:val="3"/>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529B"/>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18A"/>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407E"/>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2D5"/>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231"/>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07"/>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9D2"/>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5087"/>
    <w:rsid w:val="00BB50F6"/>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2C7"/>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BC9"/>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61"/>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0B4"/>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369A6"/>
    <w:rsid w:val="02C51CD5"/>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5E85"/>
    <w:rsid w:val="0424090B"/>
    <w:rsid w:val="04245D54"/>
    <w:rsid w:val="04272B17"/>
    <w:rsid w:val="04291C59"/>
    <w:rsid w:val="042A2F90"/>
    <w:rsid w:val="042A3EB0"/>
    <w:rsid w:val="042F251E"/>
    <w:rsid w:val="043020F0"/>
    <w:rsid w:val="04317277"/>
    <w:rsid w:val="04347E7A"/>
    <w:rsid w:val="043769C3"/>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560C7"/>
    <w:rsid w:val="08864EC5"/>
    <w:rsid w:val="089557FC"/>
    <w:rsid w:val="08980BAB"/>
    <w:rsid w:val="089E1341"/>
    <w:rsid w:val="089E33C1"/>
    <w:rsid w:val="08A352D2"/>
    <w:rsid w:val="08A44F08"/>
    <w:rsid w:val="08A5384E"/>
    <w:rsid w:val="08A54FD5"/>
    <w:rsid w:val="08AA5BF5"/>
    <w:rsid w:val="08AB6F81"/>
    <w:rsid w:val="08B14555"/>
    <w:rsid w:val="08B37BFE"/>
    <w:rsid w:val="08B97EF6"/>
    <w:rsid w:val="08BC0E13"/>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45C1F"/>
    <w:rsid w:val="0A570EE2"/>
    <w:rsid w:val="0A5926AF"/>
    <w:rsid w:val="0A5F031D"/>
    <w:rsid w:val="0A5F05AF"/>
    <w:rsid w:val="0A622F1F"/>
    <w:rsid w:val="0A656B4B"/>
    <w:rsid w:val="0A6A17FC"/>
    <w:rsid w:val="0A6E7576"/>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B0491"/>
    <w:rsid w:val="0C1B4521"/>
    <w:rsid w:val="0C1D14FE"/>
    <w:rsid w:val="0C2343CE"/>
    <w:rsid w:val="0C287ECF"/>
    <w:rsid w:val="0C293F71"/>
    <w:rsid w:val="0C2D2FE4"/>
    <w:rsid w:val="0C2E6FB6"/>
    <w:rsid w:val="0C304B08"/>
    <w:rsid w:val="0C323823"/>
    <w:rsid w:val="0C353033"/>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D7A2D"/>
    <w:rsid w:val="144F3A15"/>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100FA6"/>
    <w:rsid w:val="1513479B"/>
    <w:rsid w:val="151677A4"/>
    <w:rsid w:val="151D2BFF"/>
    <w:rsid w:val="151E65DD"/>
    <w:rsid w:val="151F6DBF"/>
    <w:rsid w:val="1521576A"/>
    <w:rsid w:val="15231E2E"/>
    <w:rsid w:val="15262908"/>
    <w:rsid w:val="1529226A"/>
    <w:rsid w:val="152F620B"/>
    <w:rsid w:val="153868CE"/>
    <w:rsid w:val="15387A07"/>
    <w:rsid w:val="153A5FE7"/>
    <w:rsid w:val="153C1F3A"/>
    <w:rsid w:val="153D0A90"/>
    <w:rsid w:val="153D638E"/>
    <w:rsid w:val="153E4B6C"/>
    <w:rsid w:val="15413E16"/>
    <w:rsid w:val="15422CD4"/>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201A1"/>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1F1370"/>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D1248"/>
    <w:rsid w:val="1BDE2826"/>
    <w:rsid w:val="1BE05A00"/>
    <w:rsid w:val="1BE60A89"/>
    <w:rsid w:val="1BE81846"/>
    <w:rsid w:val="1BEA07EC"/>
    <w:rsid w:val="1BEA3E5A"/>
    <w:rsid w:val="1BED5DF9"/>
    <w:rsid w:val="1BF00CF9"/>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F2244"/>
    <w:rsid w:val="229F5B62"/>
    <w:rsid w:val="22A11A88"/>
    <w:rsid w:val="22A220C7"/>
    <w:rsid w:val="22A470B5"/>
    <w:rsid w:val="22A60C8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B5F35"/>
    <w:rsid w:val="249D6F0E"/>
    <w:rsid w:val="249F4CC6"/>
    <w:rsid w:val="24A03D43"/>
    <w:rsid w:val="24A40035"/>
    <w:rsid w:val="24AB13AF"/>
    <w:rsid w:val="24AB6028"/>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40AC3"/>
    <w:rsid w:val="26342E81"/>
    <w:rsid w:val="26404BEC"/>
    <w:rsid w:val="264204E2"/>
    <w:rsid w:val="2643057C"/>
    <w:rsid w:val="264605A2"/>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62980"/>
    <w:rsid w:val="26D82E82"/>
    <w:rsid w:val="26D9017F"/>
    <w:rsid w:val="26E45D21"/>
    <w:rsid w:val="26EF797D"/>
    <w:rsid w:val="26F0116E"/>
    <w:rsid w:val="26F104CD"/>
    <w:rsid w:val="26FC3727"/>
    <w:rsid w:val="26FE5EF3"/>
    <w:rsid w:val="27007DB1"/>
    <w:rsid w:val="27023FD8"/>
    <w:rsid w:val="270268FC"/>
    <w:rsid w:val="27074420"/>
    <w:rsid w:val="270A184E"/>
    <w:rsid w:val="270B3BA8"/>
    <w:rsid w:val="27115F5E"/>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94232"/>
    <w:rsid w:val="292A1215"/>
    <w:rsid w:val="292C346D"/>
    <w:rsid w:val="292E488D"/>
    <w:rsid w:val="292F1FF1"/>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9101F7"/>
    <w:rsid w:val="2E9326A8"/>
    <w:rsid w:val="2E9344BB"/>
    <w:rsid w:val="2E962627"/>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E52E8"/>
    <w:rsid w:val="2F725728"/>
    <w:rsid w:val="2F735266"/>
    <w:rsid w:val="2F761B45"/>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1BCF"/>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E4281"/>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A5014"/>
    <w:rsid w:val="38BA672D"/>
    <w:rsid w:val="38C05CF9"/>
    <w:rsid w:val="38C22308"/>
    <w:rsid w:val="38C31B7A"/>
    <w:rsid w:val="38C449E2"/>
    <w:rsid w:val="38C517E5"/>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663A1"/>
    <w:rsid w:val="398704BB"/>
    <w:rsid w:val="39882427"/>
    <w:rsid w:val="398B605E"/>
    <w:rsid w:val="39916F0D"/>
    <w:rsid w:val="39926717"/>
    <w:rsid w:val="399812C8"/>
    <w:rsid w:val="399A4AA2"/>
    <w:rsid w:val="399E1C0B"/>
    <w:rsid w:val="399E7C1A"/>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B274A"/>
    <w:rsid w:val="3B8D0B94"/>
    <w:rsid w:val="3B8D3F60"/>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97ED4"/>
    <w:rsid w:val="400F1A7E"/>
    <w:rsid w:val="4013650D"/>
    <w:rsid w:val="40166C8D"/>
    <w:rsid w:val="40224723"/>
    <w:rsid w:val="402769AB"/>
    <w:rsid w:val="4029301D"/>
    <w:rsid w:val="40297D18"/>
    <w:rsid w:val="402C7086"/>
    <w:rsid w:val="403403F4"/>
    <w:rsid w:val="4036300F"/>
    <w:rsid w:val="40373485"/>
    <w:rsid w:val="40374A52"/>
    <w:rsid w:val="403A0C68"/>
    <w:rsid w:val="40420FB3"/>
    <w:rsid w:val="40427926"/>
    <w:rsid w:val="404465A7"/>
    <w:rsid w:val="40465DB4"/>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2ADF"/>
    <w:rsid w:val="4B417217"/>
    <w:rsid w:val="4B426FC8"/>
    <w:rsid w:val="4B4A1E20"/>
    <w:rsid w:val="4B4B77CC"/>
    <w:rsid w:val="4B4F2FCA"/>
    <w:rsid w:val="4B4F3F08"/>
    <w:rsid w:val="4B585189"/>
    <w:rsid w:val="4B595225"/>
    <w:rsid w:val="4B5B261F"/>
    <w:rsid w:val="4B6305EB"/>
    <w:rsid w:val="4B643275"/>
    <w:rsid w:val="4B687FD4"/>
    <w:rsid w:val="4B741C5B"/>
    <w:rsid w:val="4B7831B7"/>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D17A8"/>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6355DD"/>
    <w:rsid w:val="56662DA4"/>
    <w:rsid w:val="56680BC9"/>
    <w:rsid w:val="566926ED"/>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16A0C"/>
    <w:rsid w:val="56C61BEC"/>
    <w:rsid w:val="56D20BDD"/>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A4F93"/>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B11875"/>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E7523"/>
    <w:rsid w:val="605F164B"/>
    <w:rsid w:val="60682124"/>
    <w:rsid w:val="606A3E56"/>
    <w:rsid w:val="606B1CB6"/>
    <w:rsid w:val="6073189D"/>
    <w:rsid w:val="60736A2F"/>
    <w:rsid w:val="607443D2"/>
    <w:rsid w:val="6075702F"/>
    <w:rsid w:val="607A48AD"/>
    <w:rsid w:val="607C742A"/>
    <w:rsid w:val="607D0570"/>
    <w:rsid w:val="60801EB9"/>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D439C"/>
    <w:rsid w:val="63BD5BBB"/>
    <w:rsid w:val="63C0331D"/>
    <w:rsid w:val="63C20DCE"/>
    <w:rsid w:val="63C41DD1"/>
    <w:rsid w:val="63C43E59"/>
    <w:rsid w:val="63C72372"/>
    <w:rsid w:val="63CA38F1"/>
    <w:rsid w:val="63CA5F64"/>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42614"/>
    <w:rsid w:val="65483234"/>
    <w:rsid w:val="655A3450"/>
    <w:rsid w:val="655B2CF8"/>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E5C26"/>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C7550"/>
    <w:rsid w:val="68CD056A"/>
    <w:rsid w:val="68CD410D"/>
    <w:rsid w:val="68D324D8"/>
    <w:rsid w:val="68D34ACC"/>
    <w:rsid w:val="68D6143F"/>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37B4A"/>
    <w:rsid w:val="693A0AAA"/>
    <w:rsid w:val="693A7B08"/>
    <w:rsid w:val="693C4AC3"/>
    <w:rsid w:val="693F5E7E"/>
    <w:rsid w:val="694101FB"/>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57487"/>
    <w:rsid w:val="6A276108"/>
    <w:rsid w:val="6A2A4ADC"/>
    <w:rsid w:val="6A2A5F02"/>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52730"/>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66B2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0BCD"/>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1AF"/>
    <w:rsid w:val="6D214E93"/>
    <w:rsid w:val="6D234A39"/>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D0CF0"/>
    <w:rsid w:val="70CD1E07"/>
    <w:rsid w:val="70CD7510"/>
    <w:rsid w:val="70D228D9"/>
    <w:rsid w:val="70D32EE1"/>
    <w:rsid w:val="70D40276"/>
    <w:rsid w:val="70D55703"/>
    <w:rsid w:val="70D8409F"/>
    <w:rsid w:val="70D86D52"/>
    <w:rsid w:val="70DA2493"/>
    <w:rsid w:val="70DB0024"/>
    <w:rsid w:val="70DC4BC5"/>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03742"/>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8E6887"/>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E3B3C"/>
    <w:rsid w:val="7D6F5BF1"/>
    <w:rsid w:val="7D7567BB"/>
    <w:rsid w:val="7D7C7F13"/>
    <w:rsid w:val="7D7D670C"/>
    <w:rsid w:val="7D7E4EE9"/>
    <w:rsid w:val="7D8340D0"/>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972BA"/>
    <w:rsid w:val="7E0976BF"/>
    <w:rsid w:val="7E0E68FC"/>
    <w:rsid w:val="7E0F2115"/>
    <w:rsid w:val="7E0F2C81"/>
    <w:rsid w:val="7E0F3EA6"/>
    <w:rsid w:val="7E0F4721"/>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C3603"/>
    <w:rsid w:val="7F443395"/>
    <w:rsid w:val="7F563140"/>
    <w:rsid w:val="7F591896"/>
    <w:rsid w:val="7F591F0E"/>
    <w:rsid w:val="7F5B5771"/>
    <w:rsid w:val="7F5F27CD"/>
    <w:rsid w:val="7F5F66C5"/>
    <w:rsid w:val="7F601B98"/>
    <w:rsid w:val="7F614A34"/>
    <w:rsid w:val="7F614D28"/>
    <w:rsid w:val="7F6179F3"/>
    <w:rsid w:val="7F63372A"/>
    <w:rsid w:val="7F642634"/>
    <w:rsid w:val="7F6812CE"/>
    <w:rsid w:val="7F69519A"/>
    <w:rsid w:val="7F70218A"/>
    <w:rsid w:val="7F7514A2"/>
    <w:rsid w:val="7F7D592C"/>
    <w:rsid w:val="7F805AC3"/>
    <w:rsid w:val="7F8649A9"/>
    <w:rsid w:val="7F873895"/>
    <w:rsid w:val="7F891D26"/>
    <w:rsid w:val="7F8A16A6"/>
    <w:rsid w:val="7F8B5253"/>
    <w:rsid w:val="7F8D77FC"/>
    <w:rsid w:val="7F913931"/>
    <w:rsid w:val="7F915207"/>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62B41"/>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heme="minorBidi"/>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emf"/><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E7DA96-50C9-4CC7-91C5-59A0D91F126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2714</Words>
  <Characters>15476</Characters>
  <Lines>128</Lines>
  <Paragraphs>36</Paragraphs>
  <TotalTime>14</TotalTime>
  <ScaleCrop>false</ScaleCrop>
  <LinksUpToDate>false</LinksUpToDate>
  <CharactersWithSpaces>18154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MM</cp:lastModifiedBy>
  <dcterms:modified xsi:type="dcterms:W3CDTF">2021-01-18T06:17:16Z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